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9D83B7" w14:textId="2175D80B" w:rsidR="00EC2306" w:rsidRDefault="00EC2306" w:rsidP="007076D4">
      <w:pPr>
        <w:spacing w:line="360" w:lineRule="auto"/>
      </w:pPr>
    </w:p>
    <w:p w14:paraId="05D2C499" w14:textId="77777777" w:rsidR="009732E4" w:rsidRPr="009732E4" w:rsidRDefault="009732E4" w:rsidP="007076D4">
      <w:pPr>
        <w:autoSpaceDE w:val="0"/>
        <w:autoSpaceDN w:val="0"/>
        <w:adjustRightInd w:val="0"/>
        <w:spacing w:line="360" w:lineRule="auto"/>
        <w:jc w:val="center"/>
        <w:rPr>
          <w:b/>
          <w:iCs/>
          <w:sz w:val="28"/>
          <w:szCs w:val="28"/>
          <w:lang w:val="sr-Cyrl-CS"/>
        </w:rPr>
      </w:pPr>
      <w:r w:rsidRPr="009732E4">
        <w:rPr>
          <w:b/>
          <w:iCs/>
          <w:sz w:val="28"/>
          <w:szCs w:val="28"/>
          <w:lang w:val="sr-Cyrl-CS"/>
        </w:rPr>
        <w:t>Teaching unit 15</w:t>
      </w:r>
    </w:p>
    <w:p w14:paraId="01CCCF24" w14:textId="77777777" w:rsidR="009732E4" w:rsidRPr="009732E4" w:rsidRDefault="009732E4" w:rsidP="007076D4">
      <w:pPr>
        <w:autoSpaceDE w:val="0"/>
        <w:autoSpaceDN w:val="0"/>
        <w:adjustRightInd w:val="0"/>
        <w:spacing w:line="360" w:lineRule="auto"/>
        <w:jc w:val="center"/>
        <w:rPr>
          <w:b/>
          <w:iCs/>
          <w:sz w:val="28"/>
          <w:szCs w:val="28"/>
          <w:lang w:val="sr-Cyrl-CS"/>
        </w:rPr>
      </w:pPr>
      <w:r w:rsidRPr="009732E4">
        <w:rPr>
          <w:b/>
          <w:iCs/>
          <w:sz w:val="28"/>
          <w:szCs w:val="28"/>
          <w:lang w:val="sr-Cyrl-CS"/>
        </w:rPr>
        <w:t>Tumor immunotherapy 2</w:t>
      </w:r>
    </w:p>
    <w:p w14:paraId="29335C57" w14:textId="77777777" w:rsidR="009732E4" w:rsidRDefault="009732E4" w:rsidP="007076D4">
      <w:pPr>
        <w:autoSpaceDE w:val="0"/>
        <w:autoSpaceDN w:val="0"/>
        <w:adjustRightInd w:val="0"/>
        <w:spacing w:line="360" w:lineRule="auto"/>
        <w:jc w:val="both"/>
        <w:rPr>
          <w:b/>
          <w:i/>
          <w:lang w:val="sr-Cyrl-CS"/>
        </w:rPr>
      </w:pPr>
    </w:p>
    <w:p w14:paraId="326A3B4B" w14:textId="77777777" w:rsidR="009732E4" w:rsidRDefault="009732E4" w:rsidP="007076D4">
      <w:pPr>
        <w:autoSpaceDE w:val="0"/>
        <w:autoSpaceDN w:val="0"/>
        <w:adjustRightInd w:val="0"/>
        <w:spacing w:line="360" w:lineRule="auto"/>
        <w:jc w:val="both"/>
        <w:rPr>
          <w:b/>
          <w:i/>
          <w:lang w:val="sr-Cyrl-CS"/>
        </w:rPr>
      </w:pPr>
    </w:p>
    <w:p w14:paraId="307173E1" w14:textId="77777777" w:rsidR="009732E4" w:rsidRDefault="009732E4" w:rsidP="007076D4">
      <w:pPr>
        <w:autoSpaceDE w:val="0"/>
        <w:autoSpaceDN w:val="0"/>
        <w:adjustRightInd w:val="0"/>
        <w:spacing w:line="360" w:lineRule="auto"/>
        <w:jc w:val="both"/>
        <w:rPr>
          <w:b/>
          <w:i/>
          <w:lang w:val="sr-Cyrl-CS"/>
        </w:rPr>
      </w:pPr>
    </w:p>
    <w:p w14:paraId="0B774B18" w14:textId="77777777" w:rsidR="00CE6DC6" w:rsidRPr="0067185C" w:rsidRDefault="00CE6DC6" w:rsidP="007076D4">
      <w:pPr>
        <w:autoSpaceDE w:val="0"/>
        <w:autoSpaceDN w:val="0"/>
        <w:adjustRightInd w:val="0"/>
        <w:spacing w:line="360" w:lineRule="auto"/>
        <w:jc w:val="both"/>
        <w:rPr>
          <w:b/>
          <w:bCs/>
          <w:iCs/>
          <w:lang w:val="sr-Cyrl-CS"/>
        </w:rPr>
      </w:pPr>
      <w:r w:rsidRPr="0067185C">
        <w:rPr>
          <w:b/>
          <w:iCs/>
          <w:lang w:val="sr-Cyrl-CS"/>
        </w:rPr>
        <w:t>Cells</w:t>
      </w:r>
    </w:p>
    <w:p w14:paraId="7A888EB6" w14:textId="71520EF6" w:rsidR="001E0CAE" w:rsidRDefault="00CE6DC6" w:rsidP="007076D4">
      <w:pPr>
        <w:autoSpaceDE w:val="0"/>
        <w:autoSpaceDN w:val="0"/>
        <w:adjustRightInd w:val="0"/>
        <w:spacing w:line="360" w:lineRule="auto"/>
        <w:jc w:val="both"/>
      </w:pPr>
      <w:r w:rsidRPr="00AC50A1">
        <w:rPr>
          <w:lang w:val="sr-Cyrl-CS"/>
        </w:rPr>
        <w:t xml:space="preserve">Cell therapy is based on the in vitro cultivation of mononuclear cells from a person suffering from a tumor in the presence of high concentrations of cytokines, which induces the formation of so-called lymphokine activated killer (LAK) cells. </w:t>
      </w:r>
      <w:r w:rsidRPr="00540AF7">
        <w:rPr>
          <w:b/>
          <w:bCs/>
          <w:lang w:val="sr-Cyrl-CS"/>
        </w:rPr>
        <w:t>LAK</w:t>
      </w:r>
      <w:r w:rsidRPr="00AC50A1">
        <w:rPr>
          <w:lang w:val="sr-Cyrl-CS"/>
        </w:rPr>
        <w:t xml:space="preserve"> cells are primarily derived from NK cells, but a number originate from cytotoxic T lymphocytes that have lost the property of MHC restricted antigen recognition. Obtaining LAK cells involves isolating lymphocytes from the patient's peripheral blood, followed by in vitro activation using high doses of IL-2 (for several days). The cells stimulated in this way, with a much higher killing capacity than the original population, are returned to the patient (autologous therapy) with further in vivo administration of IL-2 (</w:t>
      </w:r>
      <w:r w:rsidR="0067185C">
        <w:rPr>
          <w:lang w:val="sr-Cyrl-RS"/>
        </w:rPr>
        <w:t xml:space="preserve">Figure </w:t>
      </w:r>
      <w:r w:rsidRPr="00AC50A1">
        <w:rPr>
          <w:lang w:val="sr-Cyrl-CS"/>
        </w:rPr>
        <w:t>1).</w:t>
      </w:r>
    </w:p>
    <w:p w14:paraId="63D7E8C1" w14:textId="77777777" w:rsidR="001E0CAE" w:rsidRPr="001E0CAE" w:rsidRDefault="001E0CAE" w:rsidP="007076D4">
      <w:pPr>
        <w:autoSpaceDE w:val="0"/>
        <w:autoSpaceDN w:val="0"/>
        <w:adjustRightInd w:val="0"/>
        <w:spacing w:line="360" w:lineRule="auto"/>
        <w:jc w:val="both"/>
        <w:rPr>
          <w:lang w:val="sr-Cyrl-RS"/>
        </w:rPr>
      </w:pPr>
      <w:r w:rsidRPr="001E0CAE">
        <w:rPr>
          <w:lang w:val="sr-Latn-RS"/>
        </w:rPr>
        <w:t>IL-2 stimulates cell proliferation, induces the production of perforin and granzyme, and increases cytotoxic activity. Unlike T lymphocytes, which require recognition of antigens within the major histocompatibility complex (MHC) molecules, LAK cells are a type of MHC-independent cytotoxic cell, meaning that their activity is not based on the recognition of MHC molecules on target cells. Due to this property, LAK cells are very effective in fighting various types of tumors, such as melanoma, renal cell carcinoma, and head and neck cancer.</w:t>
      </w:r>
    </w:p>
    <w:p w14:paraId="6D093211" w14:textId="77777777" w:rsidR="00CE6DC6" w:rsidRDefault="00CE6DC6" w:rsidP="007076D4">
      <w:pPr>
        <w:autoSpaceDE w:val="0"/>
        <w:autoSpaceDN w:val="0"/>
        <w:adjustRightInd w:val="0"/>
        <w:spacing w:line="360" w:lineRule="auto"/>
        <w:jc w:val="both"/>
      </w:pPr>
      <w:r>
        <w:rPr>
          <w:lang w:val="sr-Cyrl-CS"/>
        </w:rPr>
        <w:t>Immunotherapy with autologous LAK cells has shown impressive results in the regression of solid tumors in experimental animals. Its use in cancer patients is generally limited to advanced cases and varies from patient to patient.</w:t>
      </w:r>
    </w:p>
    <w:p w14:paraId="14D29CFB" w14:textId="77777777" w:rsidR="0095369D" w:rsidRPr="00FA2973" w:rsidRDefault="0095369D" w:rsidP="007076D4">
      <w:pPr>
        <w:autoSpaceDE w:val="0"/>
        <w:autoSpaceDN w:val="0"/>
        <w:adjustRightInd w:val="0"/>
        <w:spacing w:line="360" w:lineRule="auto"/>
        <w:jc w:val="both"/>
        <w:rPr>
          <w:lang w:val="sr-Cyrl-RS"/>
        </w:rPr>
      </w:pPr>
      <w:r>
        <w:rPr>
          <w:lang w:val="sr-Cyrl-RS"/>
        </w:rPr>
        <w:t>Limitations in the use of this type of therapy include side effects due to the need for high IL-2 such as hypotension, the short life span of LAK cells in the body, and limited cytotoxic activity in certain solid tumors. Newer types of therapy combine LAK cells with immune checkpoint inhibitors.</w:t>
      </w:r>
    </w:p>
    <w:p w14:paraId="6EDD04C0" w14:textId="77777777" w:rsidR="0095369D" w:rsidRDefault="0095369D" w:rsidP="007076D4">
      <w:pPr>
        <w:autoSpaceDE w:val="0"/>
        <w:autoSpaceDN w:val="0"/>
        <w:adjustRightInd w:val="0"/>
        <w:spacing w:line="360" w:lineRule="auto"/>
        <w:jc w:val="both"/>
      </w:pPr>
    </w:p>
    <w:p w14:paraId="300C231A" w14:textId="77777777" w:rsidR="00CE6DC6" w:rsidRDefault="00CE6DC6" w:rsidP="007076D4">
      <w:pPr>
        <w:spacing w:line="360" w:lineRule="auto"/>
        <w:jc w:val="both"/>
        <w:rPr>
          <w:lang w:val="sr-Cyrl-CS"/>
        </w:rPr>
      </w:pPr>
    </w:p>
    <w:p w14:paraId="5CAB5EE8" w14:textId="77777777" w:rsidR="00CE6DC6" w:rsidRDefault="00CE6DC6" w:rsidP="007076D4">
      <w:pPr>
        <w:spacing w:line="360" w:lineRule="auto"/>
        <w:jc w:val="both"/>
        <w:rPr>
          <w:lang w:val="sr-Cyrl-CS"/>
        </w:rPr>
      </w:pPr>
    </w:p>
    <w:p w14:paraId="3564C88B" w14:textId="77777777" w:rsidR="00CE6DC6" w:rsidRDefault="00CE6DC6" w:rsidP="007076D4">
      <w:pPr>
        <w:spacing w:line="360" w:lineRule="auto"/>
        <w:jc w:val="both"/>
        <w:rPr>
          <w:lang w:val="sr-Cyrl-CS"/>
        </w:rPr>
      </w:pPr>
    </w:p>
    <w:p w14:paraId="766E434D" w14:textId="77777777" w:rsidR="00CE6DC6" w:rsidRDefault="00CE6DC6" w:rsidP="007076D4">
      <w:pPr>
        <w:spacing w:line="360" w:lineRule="auto"/>
        <w:jc w:val="both"/>
        <w:rPr>
          <w:lang w:val="sr-Cyrl-CS"/>
        </w:rPr>
      </w:pPr>
      <w:r>
        <w:rPr>
          <w:noProof/>
        </w:rPr>
        <w:lastRenderedPageBreak/>
        <w:drawing>
          <wp:anchor distT="0" distB="0" distL="114300" distR="114300" simplePos="0" relativeHeight="251657216" behindDoc="0" locked="0" layoutInCell="1" allowOverlap="1" wp14:anchorId="0305B3FB" wp14:editId="0CD65A49">
            <wp:simplePos x="0" y="0"/>
            <wp:positionH relativeFrom="column">
              <wp:posOffset>1028700</wp:posOffset>
            </wp:positionH>
            <wp:positionV relativeFrom="paragraph">
              <wp:posOffset>-342900</wp:posOffset>
            </wp:positionV>
            <wp:extent cx="2971800" cy="3743325"/>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2971800" cy="3743325"/>
                    </a:xfrm>
                    <a:prstGeom prst="rect">
                      <a:avLst/>
                    </a:prstGeom>
                    <a:noFill/>
                    <a:ln w="9525">
                      <a:noFill/>
                      <a:miter lim="800000"/>
                      <a:headEnd/>
                      <a:tailEnd/>
                    </a:ln>
                  </pic:spPr>
                </pic:pic>
              </a:graphicData>
            </a:graphic>
          </wp:anchor>
        </w:drawing>
      </w:r>
    </w:p>
    <w:p w14:paraId="7F18D3C2" w14:textId="77777777" w:rsidR="00CE6DC6" w:rsidRDefault="00CE6DC6" w:rsidP="007076D4">
      <w:pPr>
        <w:spacing w:line="360" w:lineRule="auto"/>
        <w:jc w:val="both"/>
        <w:rPr>
          <w:lang w:val="sr-Cyrl-CS"/>
        </w:rPr>
      </w:pPr>
    </w:p>
    <w:p w14:paraId="7680C42A" w14:textId="77777777" w:rsidR="00CE6DC6" w:rsidRDefault="00CE6DC6" w:rsidP="007076D4">
      <w:pPr>
        <w:spacing w:line="360" w:lineRule="auto"/>
        <w:jc w:val="both"/>
        <w:rPr>
          <w:lang w:val="sr-Cyrl-CS"/>
        </w:rPr>
      </w:pPr>
    </w:p>
    <w:p w14:paraId="44F287DA" w14:textId="77777777" w:rsidR="00CE6DC6" w:rsidRDefault="00CE6DC6" w:rsidP="007076D4">
      <w:pPr>
        <w:spacing w:line="360" w:lineRule="auto"/>
        <w:jc w:val="both"/>
        <w:rPr>
          <w:lang w:val="sr-Cyrl-CS"/>
        </w:rPr>
      </w:pPr>
    </w:p>
    <w:p w14:paraId="27529522" w14:textId="77777777" w:rsidR="00CE6DC6" w:rsidRDefault="00CE6DC6" w:rsidP="007076D4">
      <w:pPr>
        <w:spacing w:line="360" w:lineRule="auto"/>
        <w:jc w:val="both"/>
        <w:rPr>
          <w:lang w:val="sr-Cyrl-CS"/>
        </w:rPr>
      </w:pPr>
    </w:p>
    <w:p w14:paraId="262FF226" w14:textId="77777777" w:rsidR="00CE6DC6" w:rsidRDefault="00CE6DC6" w:rsidP="007076D4">
      <w:pPr>
        <w:spacing w:line="360" w:lineRule="auto"/>
        <w:jc w:val="both"/>
        <w:rPr>
          <w:lang w:val="sr-Cyrl-CS"/>
        </w:rPr>
      </w:pPr>
    </w:p>
    <w:p w14:paraId="18696982" w14:textId="77777777" w:rsidR="00CE6DC6" w:rsidRDefault="00CE6DC6" w:rsidP="007076D4">
      <w:pPr>
        <w:spacing w:line="360" w:lineRule="auto"/>
        <w:jc w:val="both"/>
        <w:rPr>
          <w:lang w:val="sr-Cyrl-CS"/>
        </w:rPr>
      </w:pPr>
    </w:p>
    <w:p w14:paraId="1F016191" w14:textId="77777777" w:rsidR="00CE6DC6" w:rsidRDefault="00CE6DC6" w:rsidP="007076D4">
      <w:pPr>
        <w:spacing w:line="360" w:lineRule="auto"/>
        <w:jc w:val="both"/>
        <w:rPr>
          <w:lang w:val="sr-Cyrl-CS"/>
        </w:rPr>
      </w:pPr>
    </w:p>
    <w:p w14:paraId="1308BA24" w14:textId="77777777" w:rsidR="00CE6DC6" w:rsidRDefault="00CE6DC6" w:rsidP="007076D4">
      <w:pPr>
        <w:spacing w:line="360" w:lineRule="auto"/>
        <w:jc w:val="both"/>
        <w:rPr>
          <w:lang w:val="sr-Cyrl-CS"/>
        </w:rPr>
      </w:pPr>
    </w:p>
    <w:p w14:paraId="50D9AEF9" w14:textId="77777777" w:rsidR="00CE6DC6" w:rsidRDefault="00CE6DC6" w:rsidP="007076D4">
      <w:pPr>
        <w:spacing w:line="360" w:lineRule="auto"/>
        <w:jc w:val="both"/>
        <w:rPr>
          <w:lang w:val="sr-Cyrl-CS"/>
        </w:rPr>
      </w:pPr>
    </w:p>
    <w:p w14:paraId="4A1A73A1" w14:textId="77777777" w:rsidR="00CE6DC6" w:rsidRDefault="00CE6DC6" w:rsidP="007076D4">
      <w:pPr>
        <w:spacing w:line="360" w:lineRule="auto"/>
        <w:jc w:val="both"/>
        <w:rPr>
          <w:lang w:val="sr-Cyrl-CS"/>
        </w:rPr>
      </w:pPr>
    </w:p>
    <w:p w14:paraId="73D2B3EA" w14:textId="77777777" w:rsidR="00CE6DC6" w:rsidRDefault="00CE6DC6" w:rsidP="007076D4">
      <w:pPr>
        <w:spacing w:line="360" w:lineRule="auto"/>
        <w:jc w:val="both"/>
        <w:rPr>
          <w:lang w:val="sr-Cyrl-CS"/>
        </w:rPr>
      </w:pPr>
    </w:p>
    <w:p w14:paraId="754CFC55" w14:textId="77777777" w:rsidR="00CE6DC6" w:rsidRDefault="00CE6DC6" w:rsidP="007076D4">
      <w:pPr>
        <w:spacing w:line="360" w:lineRule="auto"/>
        <w:jc w:val="both"/>
        <w:rPr>
          <w:lang w:val="sr-Cyrl-CS"/>
        </w:rPr>
      </w:pPr>
    </w:p>
    <w:p w14:paraId="2579517A" w14:textId="77777777" w:rsidR="00CE6DC6" w:rsidRDefault="00CE6DC6" w:rsidP="007076D4">
      <w:pPr>
        <w:spacing w:line="360" w:lineRule="auto"/>
        <w:jc w:val="both"/>
        <w:rPr>
          <w:lang w:val="sr-Cyrl-CS"/>
        </w:rPr>
      </w:pPr>
    </w:p>
    <w:p w14:paraId="3A376DE4" w14:textId="77777777" w:rsidR="00CE6DC6" w:rsidRDefault="00CE6DC6" w:rsidP="007076D4">
      <w:pPr>
        <w:spacing w:line="360" w:lineRule="auto"/>
        <w:jc w:val="both"/>
        <w:rPr>
          <w:lang w:val="sr-Cyrl-CS"/>
        </w:rPr>
      </w:pPr>
      <w:r>
        <w:rPr>
          <w:lang w:val="sr-Cyrl-CS"/>
        </w:rPr>
        <w:t xml:space="preserve">           </w:t>
      </w:r>
    </w:p>
    <w:p w14:paraId="7B7FA2FC" w14:textId="41DD6930" w:rsidR="00CE6DC6" w:rsidRDefault="00CE6DC6" w:rsidP="007076D4">
      <w:pPr>
        <w:spacing w:line="360" w:lineRule="auto"/>
        <w:jc w:val="both"/>
        <w:rPr>
          <w:lang w:val="sr-Cyrl-CS"/>
        </w:rPr>
      </w:pPr>
      <w:r>
        <w:rPr>
          <w:lang w:val="sr-Cyrl-CS"/>
        </w:rPr>
        <w:t xml:space="preserve">                                                     </w:t>
      </w:r>
      <w:r w:rsidR="0067185C">
        <w:rPr>
          <w:lang w:val="sr-Cyrl-RS"/>
        </w:rPr>
        <w:t xml:space="preserve">Figure </w:t>
      </w:r>
      <w:r>
        <w:rPr>
          <w:lang w:val="sr-Cyrl-CS"/>
        </w:rPr>
        <w:t>1</w:t>
      </w:r>
    </w:p>
    <w:p w14:paraId="6A9C919C" w14:textId="77777777" w:rsidR="00CE6DC6" w:rsidRDefault="00CE6DC6" w:rsidP="007076D4">
      <w:pPr>
        <w:spacing w:line="360" w:lineRule="auto"/>
        <w:jc w:val="both"/>
        <w:rPr>
          <w:lang w:val="sr-Cyrl-CS"/>
        </w:rPr>
      </w:pPr>
      <w:r>
        <w:rPr>
          <w:lang w:val="sr-Cyrl-CS"/>
        </w:rPr>
        <w:t xml:space="preserve">                               </w:t>
      </w:r>
    </w:p>
    <w:p w14:paraId="138AF573" w14:textId="77777777" w:rsidR="0009717B" w:rsidRDefault="00CE6DC6" w:rsidP="007076D4">
      <w:pPr>
        <w:spacing w:line="360" w:lineRule="auto"/>
        <w:jc w:val="both"/>
      </w:pPr>
      <w:r>
        <w:rPr>
          <w:b/>
          <w:bCs/>
          <w:lang w:val="sr-Cyrl-CS"/>
        </w:rPr>
        <w:t>TIL therapy.</w:t>
      </w:r>
      <w:r w:rsidRPr="00D7511A">
        <w:rPr>
          <w:lang w:val="sr-Cyrl-CS"/>
        </w:rPr>
        <w:t>In an attempt to find more effective antitumor cytotoxic cells, Rosenberg isolated tumor-infiltrating lymphocytes in 1986 and named them TIL (tumor infiltrating lymphocytes). Unlike LAK cells, TIL cells are largely tumor-specific CTLs capable of killing 100–1000 times more efficiently than LAK cells when activated in vitro with IL-2. TILs are obtained by surgically removing tumor tissue from a patient, pulverizing the tumor to a single-cell suspension of mononuclear cells and tumor cells, which is then cultured in vitro for 30 to 45 days with anti-CD3 mAb and IL-2 until the required number of TIL cells is reached, which are then infused with IL-2 and returned to the patient. TIL cells recognize tumor cells by expressing a T-cell receptor (TCR) that recognizes and binds to the MHC class I molecule-antigen complex on tumor cells. After recognizing a tumor cell and activating, TIL cells produce perforin and granzymes and kill tumor cells by inducing apoptosis. TIL cells have shown good results in the treatment of melanoma, lung and cervical cancer, and are being intensively investigated as a potential therapy for breast cancer. For better therapeutic outcomes, TIL cells are often combined with immune checkpoint inhibitors such as anti-PD-1, anti-CTLA-4 antibodies.</w:t>
      </w:r>
    </w:p>
    <w:p w14:paraId="54F70635" w14:textId="77777777" w:rsidR="00B95316" w:rsidRPr="00B95316" w:rsidRDefault="00B95316" w:rsidP="007076D4">
      <w:pPr>
        <w:spacing w:line="360" w:lineRule="auto"/>
        <w:jc w:val="both"/>
      </w:pPr>
    </w:p>
    <w:p w14:paraId="23B5F965" w14:textId="77777777" w:rsidR="00B95316" w:rsidRPr="00B95316" w:rsidRDefault="00702361" w:rsidP="007076D4">
      <w:pPr>
        <w:spacing w:line="360" w:lineRule="auto"/>
        <w:jc w:val="both"/>
        <w:rPr>
          <w:lang w:val="sr-Cyrl-RS"/>
        </w:rPr>
      </w:pPr>
      <w:r>
        <w:rPr>
          <w:noProof/>
        </w:rPr>
        <w:lastRenderedPageBreak/>
        <w:drawing>
          <wp:inline distT="0" distB="0" distL="0" distR="0" wp14:anchorId="16525B8C" wp14:editId="3A680EF8">
            <wp:extent cx="4335145" cy="2279650"/>
            <wp:effectExtent l="0" t="0" r="8255" b="6350"/>
            <wp:docPr id="1098021884" name="Picture 1" descr="TIL Therapies Applications - Excel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L Therapies Applications - Excello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373592" cy="2299867"/>
                    </a:xfrm>
                    <a:prstGeom prst="rect">
                      <a:avLst/>
                    </a:prstGeom>
                    <a:noFill/>
                    <a:ln>
                      <a:noFill/>
                    </a:ln>
                  </pic:spPr>
                </pic:pic>
              </a:graphicData>
            </a:graphic>
          </wp:inline>
        </w:drawing>
      </w:r>
    </w:p>
    <w:p w14:paraId="172D5EE0" w14:textId="235AAEC4" w:rsidR="00B95316" w:rsidRDefault="0067185C" w:rsidP="007076D4">
      <w:pPr>
        <w:spacing w:line="360" w:lineRule="auto"/>
        <w:jc w:val="both"/>
        <w:rPr>
          <w:lang w:val="sr-Cyrl-RS"/>
        </w:rPr>
      </w:pPr>
      <w:r>
        <w:rPr>
          <w:lang w:val="sr-Cyrl-RS"/>
        </w:rPr>
        <w:t xml:space="preserve">Figure </w:t>
      </w:r>
      <w:r w:rsidR="00B95316">
        <w:rPr>
          <w:lang w:val="sr-Cyrl-RS"/>
        </w:rPr>
        <w:t>2</w:t>
      </w:r>
    </w:p>
    <w:p w14:paraId="429D8048" w14:textId="77777777" w:rsidR="00B95316" w:rsidRDefault="00B95316" w:rsidP="007076D4">
      <w:pPr>
        <w:spacing w:line="360" w:lineRule="auto"/>
        <w:jc w:val="both"/>
        <w:rPr>
          <w:lang w:val="sr-Cyrl-RS"/>
        </w:rPr>
      </w:pPr>
    </w:p>
    <w:p w14:paraId="2F4F19E2" w14:textId="414C725B" w:rsidR="00B95316" w:rsidRDefault="00466888" w:rsidP="007076D4">
      <w:pPr>
        <w:spacing w:line="360" w:lineRule="auto"/>
        <w:jc w:val="both"/>
        <w:rPr>
          <w:lang w:val="sr-Cyrl-RS"/>
        </w:rPr>
      </w:pPr>
      <w:r w:rsidRPr="00466888">
        <w:rPr>
          <w:b/>
          <w:bCs/>
        </w:rPr>
        <w:t>CAR T cells</w:t>
      </w:r>
      <w:r>
        <w:rPr>
          <w:lang w:val="sr-Cyrl-RS"/>
        </w:rPr>
        <w:t>. Chimeric Antigen Receptor (Chimeric Antigen Receptor) is a receptor that gives T lymphocytes additional capabilities in order to recognize a specific antigen. The receptor is chimeric because it contains both an antigen recognition segment and a segment for the activator functions of T lymphocytes. CAR T cells are modified immune cells from the patient, designed to recognize and eliminate tumor cells. Obtaining these cells involves taking T lymphocytes from the patient, then genetically modifying the cells by introducing the gene encoding the CAR receptor with viral vectors (retrovirus, lentivirus). In this way, the cells recognize only tumor antigens, but not their own. The modified cells are then multiplied and then returned to the patient. When they recognize the antigen on tumor cells, CAR T cells are immediately activated and kill tumor cells (</w:t>
      </w:r>
      <w:r w:rsidR="0067185C">
        <w:rPr>
          <w:lang w:val="sr-Cyrl-RS"/>
        </w:rPr>
        <w:t xml:space="preserve">Figure </w:t>
      </w:r>
      <w:r>
        <w:rPr>
          <w:lang w:val="sr-Cyrl-RS"/>
        </w:rPr>
        <w:t>3).</w:t>
      </w:r>
    </w:p>
    <w:p w14:paraId="08A0B0C5" w14:textId="77777777" w:rsidR="00A74DDD" w:rsidRDefault="00A74DDD" w:rsidP="007076D4">
      <w:pPr>
        <w:spacing w:line="360" w:lineRule="auto"/>
        <w:jc w:val="both"/>
        <w:rPr>
          <w:lang w:val="sr-Cyrl-RS"/>
        </w:rPr>
      </w:pPr>
      <w:r>
        <w:t>The CAR receptor usually contains an extracellular portion of the antibody, a transmembrane segment, and an intramembrane portion, most commonly CD3ζ, along with the costimulatory molecule CD28.</w:t>
      </w:r>
    </w:p>
    <w:p w14:paraId="17AA3BDA" w14:textId="77777777" w:rsidR="00A74DDD" w:rsidRDefault="00A74DDD" w:rsidP="007076D4">
      <w:pPr>
        <w:spacing w:line="360" w:lineRule="auto"/>
        <w:jc w:val="both"/>
        <w:rPr>
          <w:lang w:val="sr-Cyrl-RS"/>
        </w:rPr>
      </w:pPr>
      <w:r>
        <w:rPr>
          <w:lang w:val="sr-Cyrl-RS"/>
        </w:rPr>
        <w:t>The use of CAR T cells has yielded the best results in the treatment of acute lymphoblastic leukemia, B cell lymphoma. The effectiveness of this type of therapy is also being tested in the treatment of Hodgkin lymphoma, acute myeloid leukemia, and multiple myeloma. Side effects of this therapy are neurotoxicity and cytokine release syndrome, which is characterized by multiorgan dysfunction.</w:t>
      </w:r>
    </w:p>
    <w:p w14:paraId="78C6DC34" w14:textId="77777777" w:rsidR="00F07ECE" w:rsidRDefault="00F07ECE" w:rsidP="007076D4">
      <w:pPr>
        <w:spacing w:line="360" w:lineRule="auto"/>
        <w:jc w:val="both"/>
        <w:rPr>
          <w:lang w:val="sr-Cyrl-RS"/>
        </w:rPr>
      </w:pPr>
      <w:r>
        <w:rPr>
          <w:noProof/>
        </w:rPr>
        <w:lastRenderedPageBreak/>
        <w:drawing>
          <wp:inline distT="0" distB="0" distL="0" distR="0" wp14:anchorId="2E050D52" wp14:editId="12DCDBE2">
            <wp:extent cx="3225800" cy="2582146"/>
            <wp:effectExtent l="0" t="0" r="0" b="8890"/>
            <wp:docPr id="580834006" name="Picture 2" descr="CAR T-cell therapy; drawing of blood being removed from a vein in a patient’s arm to get T cells. Also shown is a special receptor called a chimeric antigen receptor (CAR) being made in the laboratory; the gene for CAR is inserted into the T cells and then millions of CAR T cells are grown. Drawing also shows the CAR T cells being given to the patient by infusion and binding to antigens on the cancer cells and killing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 T-cell therapy; drawing of blood being removed from a vein in a patient’s arm to get T cells. Also shown is a special receptor called a chimeric antigen receptor (CAR) being made in the laboratory; the gene for CAR is inserted into the T cells and then millions of CAR T cells are grown. Drawing also shows the CAR T cells being given to the patient by infusion and binding to antigens on the cancer cells and killing them."/>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38664" cy="2592443"/>
                    </a:xfrm>
                    <a:prstGeom prst="rect">
                      <a:avLst/>
                    </a:prstGeom>
                    <a:noFill/>
                    <a:ln>
                      <a:noFill/>
                    </a:ln>
                  </pic:spPr>
                </pic:pic>
              </a:graphicData>
            </a:graphic>
          </wp:inline>
        </w:drawing>
      </w:r>
    </w:p>
    <w:p w14:paraId="7FFAB810" w14:textId="2C36EFAB" w:rsidR="00F07ECE" w:rsidRPr="0009717B" w:rsidRDefault="0067185C" w:rsidP="007076D4">
      <w:pPr>
        <w:spacing w:line="360" w:lineRule="auto"/>
        <w:jc w:val="both"/>
        <w:rPr>
          <w:lang w:val="sr-Cyrl-RS"/>
        </w:rPr>
      </w:pPr>
      <w:r>
        <w:rPr>
          <w:lang w:val="sr-Cyrl-RS"/>
        </w:rPr>
        <w:t xml:space="preserve">Figure </w:t>
      </w:r>
      <w:r w:rsidR="00F07ECE">
        <w:rPr>
          <w:lang w:val="sr-Cyrl-RS"/>
        </w:rPr>
        <w:t>3</w:t>
      </w:r>
    </w:p>
    <w:p w14:paraId="507443B5" w14:textId="77777777" w:rsidR="00CE6DC6" w:rsidRDefault="00CE6DC6" w:rsidP="007076D4">
      <w:pPr>
        <w:spacing w:line="360" w:lineRule="auto"/>
        <w:jc w:val="both"/>
        <w:rPr>
          <w:lang w:val="sr-Cyrl-CS"/>
        </w:rPr>
      </w:pPr>
    </w:p>
    <w:p w14:paraId="17566760" w14:textId="7AFBF2C5" w:rsidR="00A1205F" w:rsidRDefault="00540AF7" w:rsidP="007076D4">
      <w:pPr>
        <w:spacing w:line="360" w:lineRule="auto"/>
        <w:jc w:val="both"/>
        <w:rPr>
          <w:lang w:val="sr-Cyrl-RS"/>
        </w:rPr>
      </w:pPr>
      <w:r w:rsidRPr="00540AF7">
        <w:rPr>
          <w:b/>
          <w:bCs/>
          <w:lang w:val="sr-Cyrl-RS"/>
        </w:rPr>
        <w:t>Immune checkpoint blockade</w:t>
      </w:r>
      <w:r w:rsidR="00686F49" w:rsidRPr="00540AF7">
        <w:rPr>
          <w:b/>
          <w:bCs/>
        </w:rPr>
        <w:t>.</w:t>
      </w:r>
      <w:r w:rsidRPr="00540AF7">
        <w:rPr>
          <w:b/>
          <w:bCs/>
        </w:rPr>
        <w:t xml:space="preserve"> </w:t>
      </w:r>
      <w:r w:rsidR="00686F49">
        <w:rPr>
          <w:lang w:val="sr-Cyrl-RS"/>
        </w:rPr>
        <w:t>Immune checkpoint blockade is a method of treating malignant diseases that uses the body's own immune system to fight. It works by blocking certain proteins, known as checkpoint proteins, which serve as controllers of the immune system. Malignant cells have the ability to use these proteins to suppress and evade the immune response. Blocking these checkpoints helps the immune system to recognize and attack malignant cells more effectively. The principle of this strategy is to enhance the host's immune response against tumors by blocking normal inhibitory signals to T cells, thereby removing the brakes (checkpoints) on the immune response.</w:t>
      </w:r>
    </w:p>
    <w:p w14:paraId="68C88193" w14:textId="77777777" w:rsidR="00C766E5" w:rsidRDefault="00445771" w:rsidP="007076D4">
      <w:pPr>
        <w:spacing w:line="360" w:lineRule="auto"/>
        <w:jc w:val="both"/>
        <w:rPr>
          <w:lang w:val="sr-Cyrl-RS"/>
        </w:rPr>
      </w:pPr>
      <w:r>
        <w:rPr>
          <w:lang w:val="sr-Cyrl-RS"/>
        </w:rPr>
        <w:t>Immune checkpoints are molecules that regulate T-cell activation. Under physiological conditions, the main role of these molecules is to prevent excessive activation of the immune system and thus protect healthy tissue from excessive damage. The most important molecules in this group are CTLA-4 (Cytotoxic T-Lymphocyte Antigen 4) and PD-1 (Programmed cell Death protein 1) and its ligand PD-L1. These inhibitory receptors are called coinhibitors to compare them with costimulators. Two important inhibitory receptors - CTLA-4 and PD-1 - are structurally related to CD28.</w:t>
      </w:r>
    </w:p>
    <w:p w14:paraId="6F1FCAFA" w14:textId="21CF3725" w:rsidR="00C766E5" w:rsidRPr="00C766E5" w:rsidRDefault="00C766E5" w:rsidP="007076D4">
      <w:pPr>
        <w:spacing w:line="360" w:lineRule="auto"/>
        <w:jc w:val="both"/>
        <w:rPr>
          <w:lang w:val="sr-Cyrl-RS"/>
        </w:rPr>
      </w:pPr>
      <w:r w:rsidRPr="00445771">
        <w:rPr>
          <w:lang w:val="sr-Cyrl-RS"/>
        </w:rPr>
        <w:t xml:space="preserve">CTLA-4 belongs to the CD28 family of proteins and limits the immune response in the initial phase of T lymphocyte activation. It is dominantly expressed on T lymphocytes and is specific for </w:t>
      </w:r>
      <w:r w:rsidR="00766336">
        <w:t>B</w:t>
      </w:r>
      <w:r w:rsidRPr="00445771">
        <w:rPr>
          <w:lang w:val="sr-Cyrl-RS"/>
        </w:rPr>
        <w:t xml:space="preserve">7 molecules. CTLA-4 binds </w:t>
      </w:r>
      <w:r w:rsidR="00766336">
        <w:t>B</w:t>
      </w:r>
      <w:r w:rsidRPr="00445771">
        <w:rPr>
          <w:lang w:val="sr-Cyrl-RS"/>
        </w:rPr>
        <w:t xml:space="preserve">7 costimulators with significantly higher affinity than CD28 molecules and thus inhibits T lymphocyte activation. In this way, CTLA-4 blocks and removes </w:t>
      </w:r>
      <w:r w:rsidR="00766336">
        <w:t>B</w:t>
      </w:r>
      <w:r w:rsidRPr="00445771">
        <w:rPr>
          <w:lang w:val="sr-Cyrl-RS"/>
        </w:rPr>
        <w:t xml:space="preserve">7 molecules, preventing CD28 from binding to the </w:t>
      </w:r>
      <w:r w:rsidR="00766336">
        <w:t>B</w:t>
      </w:r>
      <w:r w:rsidRPr="00445771">
        <w:rPr>
          <w:lang w:val="sr-Cyrl-RS"/>
        </w:rPr>
        <w:t xml:space="preserve">7 molecule. This competition is particularly significant during periods of low expression of </w:t>
      </w:r>
      <w:r w:rsidR="00766336">
        <w:t>B</w:t>
      </w:r>
      <w:r w:rsidRPr="00445771">
        <w:rPr>
          <w:lang w:val="sr-Cyrl-RS"/>
        </w:rPr>
        <w:t xml:space="preserve">7 molecules when dendritic cells </w:t>
      </w:r>
      <w:r w:rsidRPr="00445771">
        <w:rPr>
          <w:lang w:val="sr-Cyrl-RS"/>
        </w:rPr>
        <w:lastRenderedPageBreak/>
        <w:t>present tumor antigens. CTLA-4 also plays an important role in the suppressive function of regulatory T lymphocytes (Figure 4).</w:t>
      </w:r>
    </w:p>
    <w:p w14:paraId="3433A548" w14:textId="209824AC" w:rsidR="00C766E5" w:rsidRPr="00540AF7" w:rsidRDefault="00C766E5" w:rsidP="007076D4">
      <w:pPr>
        <w:spacing w:line="360" w:lineRule="auto"/>
        <w:jc w:val="both"/>
      </w:pPr>
      <w:r w:rsidRPr="00445771">
        <w:rPr>
          <w:lang w:val="sr-Cyrl-RS"/>
        </w:rPr>
        <w:t>PD-1 is an inhibitory receptor important for limiting the immune response during the effector phase of T lymphocytes. It is expressed on T lymphocytes after antigen stimulation, while it is constitutively expressed on regulatory T lymphocytes. PD-1 recognizes two distinct but structurally related ligands, PD-L1 and PD-L2, on many cell types. PD-L1 is expressed on: leukocytes, parenchymal cells, tumor cells (melanoma, non-small cell lung cancer, ovarian cancer)</w:t>
      </w:r>
    </w:p>
    <w:p w14:paraId="3C58960B" w14:textId="77777777" w:rsidR="00C766E5" w:rsidRDefault="00C766E5" w:rsidP="007076D4">
      <w:pPr>
        <w:spacing w:line="360" w:lineRule="auto"/>
        <w:jc w:val="both"/>
        <w:rPr>
          <w:lang w:val="sr-Cyrl-RS"/>
        </w:rPr>
      </w:pPr>
      <w:r w:rsidRPr="00C766E5">
        <w:rPr>
          <w:lang w:val="sr-Cyrl-RS"/>
        </w:rPr>
        <w:t>PD-L2 is expressed on: dendritic cells, monocytes, immune and non-immune cells. The interaction of PD-1 and PD-L1 and PD-L2 inhibits T lymphocyte proliferation, reduces cytokine production and reduces T lymphocyte survival. During the immune response under physiological conditions, the interaction of PD-1 and PD-L1 and PD-L2 is important because it maintains peripheral immune tolerance, limits excessive tissue damage and suppresses the development of autoimmune diseases. In chronic infections and malignant diseases, increased expression of PD-1 serves as a marker of “exhausted” T lymphocytes. This state of exhaustion, which occurs during chronic infections and tumors, is characterized by T lymphocyte dysfunction, which causes inadequate control of infections and tumor growth and progression. During tumor development and progression, the interaction of PD-1 and PD-L1 and PD-L2 inhibits the activation of tumor-infiltrating leukocytes, stimulates T lymphocyte apoptosis, reduces the production of proinflammatory cytokines, retains immune response cells in the G0/G1 phase, reduces the activity of cytotoxic T lymphocytes, inhibits the production of perforin and granzyme in cytotoxic T lymphocytes, increases the production of anti-inflammatory cytokines, and thus facilitates metastasis and infiltration of tumor cells into tissues.</w:t>
      </w:r>
    </w:p>
    <w:p w14:paraId="2D810A80" w14:textId="77777777" w:rsidR="00445771" w:rsidRDefault="00445771" w:rsidP="007076D4">
      <w:pPr>
        <w:spacing w:line="360" w:lineRule="auto"/>
        <w:jc w:val="both"/>
        <w:rPr>
          <w:lang w:val="sr-Cyrl-RS"/>
        </w:rPr>
      </w:pPr>
      <w:r w:rsidRPr="00445771">
        <w:rPr>
          <w:lang w:val="sr-Cyrl-RS"/>
        </w:rPr>
        <w:t>These findings provide the basis for the use of antibodies that block CTLA-4 or PD-1 to improve the immune response to tumors in cancer patients.</w:t>
      </w:r>
    </w:p>
    <w:p w14:paraId="4A7C968F" w14:textId="77777777" w:rsidR="00C56F5E" w:rsidRDefault="00C56F5E" w:rsidP="007076D4">
      <w:pPr>
        <w:spacing w:line="360" w:lineRule="auto"/>
        <w:jc w:val="both"/>
        <w:rPr>
          <w:lang w:val="sr-Cyrl-RS"/>
        </w:rPr>
      </w:pPr>
    </w:p>
    <w:p w14:paraId="28A8BF6C" w14:textId="77777777" w:rsidR="00C04D2A" w:rsidRDefault="00C04D2A" w:rsidP="007076D4">
      <w:pPr>
        <w:spacing w:line="360" w:lineRule="auto"/>
        <w:jc w:val="both"/>
        <w:rPr>
          <w:noProof/>
          <w14:ligatures w14:val="standardContextual"/>
        </w:rPr>
      </w:pPr>
      <w:r>
        <w:rPr>
          <w:noProof/>
          <w14:ligatures w14:val="standardContextual"/>
        </w:rPr>
        <w:lastRenderedPageBreak/>
        <w:drawing>
          <wp:inline distT="0" distB="0" distL="0" distR="0" wp14:anchorId="3DEC1F74" wp14:editId="267F8161">
            <wp:extent cx="3653780" cy="3644646"/>
            <wp:effectExtent l="0" t="0" r="4445" b="0"/>
            <wp:docPr id="4" name="Picture 3">
              <a:extLst xmlns:a="http://schemas.openxmlformats.org/drawingml/2006/main">
                <a:ext uri="{FF2B5EF4-FFF2-40B4-BE49-F238E27FC236}">
                  <a16:creationId xmlns:a16="http://schemas.microsoft.com/office/drawing/2014/main" id="{C05E053D-D634-B3C7-41BC-BF6957683A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05E053D-D634-B3C7-41BC-BF6957683A28}"/>
                        </a:ext>
                      </a:extLst>
                    </pic:cNvPr>
                    <pic:cNvPicPr>
                      <a:picLocks noChangeAspect="1"/>
                    </pic:cNvPicPr>
                  </pic:nvPicPr>
                  <pic:blipFill>
                    <a:blip r:embed="rId8"/>
                    <a:stretch>
                      <a:fillRect/>
                    </a:stretch>
                  </pic:blipFill>
                  <pic:spPr>
                    <a:xfrm>
                      <a:off x="0" y="0"/>
                      <a:ext cx="3669430" cy="3660257"/>
                    </a:xfrm>
                    <a:prstGeom prst="rect">
                      <a:avLst/>
                    </a:prstGeom>
                  </pic:spPr>
                </pic:pic>
              </a:graphicData>
            </a:graphic>
          </wp:inline>
        </w:drawing>
      </w:r>
    </w:p>
    <w:p w14:paraId="6CC4530C" w14:textId="77777777" w:rsidR="00C04D2A" w:rsidRDefault="00C04D2A" w:rsidP="007076D4">
      <w:pPr>
        <w:tabs>
          <w:tab w:val="left" w:pos="1660"/>
        </w:tabs>
        <w:spacing w:line="360" w:lineRule="auto"/>
        <w:jc w:val="both"/>
        <w:rPr>
          <w:noProof/>
          <w:lang w:val="sr-Cyrl-RS"/>
          <w14:ligatures w14:val="standardContextual"/>
        </w:rPr>
      </w:pPr>
      <w:r>
        <w:rPr>
          <w:noProof/>
          <w:lang w:val="sr-Cyrl-RS"/>
          <w14:ligatures w14:val="standardContextual"/>
        </w:rPr>
        <w:t xml:space="preserve">                                       </w:t>
      </w:r>
    </w:p>
    <w:p w14:paraId="42B2D1C5" w14:textId="2B408022" w:rsidR="00C04D2A" w:rsidRDefault="00C04D2A" w:rsidP="007076D4">
      <w:pPr>
        <w:tabs>
          <w:tab w:val="left" w:pos="1660"/>
        </w:tabs>
        <w:spacing w:line="360" w:lineRule="auto"/>
        <w:jc w:val="both"/>
        <w:rPr>
          <w:lang w:val="sr-Cyrl-RS"/>
        </w:rPr>
      </w:pPr>
      <w:r>
        <w:rPr>
          <w:noProof/>
          <w:lang w:val="sr-Cyrl-RS"/>
          <w14:ligatures w14:val="standardContextual"/>
        </w:rPr>
        <w:t xml:space="preserve">                                      </w:t>
      </w:r>
      <w:r w:rsidR="0067185C">
        <w:rPr>
          <w:lang w:val="sr-Cyrl-RS"/>
        </w:rPr>
        <w:t xml:space="preserve">Figure </w:t>
      </w:r>
      <w:r>
        <w:rPr>
          <w:lang w:val="sr-Cyrl-RS"/>
        </w:rPr>
        <w:t>4</w:t>
      </w:r>
    </w:p>
    <w:p w14:paraId="6126474F" w14:textId="77777777" w:rsidR="00C04D2A" w:rsidRDefault="00C04D2A" w:rsidP="007076D4">
      <w:pPr>
        <w:tabs>
          <w:tab w:val="left" w:pos="1660"/>
        </w:tabs>
        <w:spacing w:line="360" w:lineRule="auto"/>
        <w:jc w:val="both"/>
        <w:rPr>
          <w:lang w:val="sr-Cyrl-RS"/>
        </w:rPr>
      </w:pPr>
    </w:p>
    <w:p w14:paraId="148A8C40" w14:textId="77777777" w:rsidR="00C04D2A" w:rsidRDefault="00C04D2A" w:rsidP="007076D4">
      <w:pPr>
        <w:tabs>
          <w:tab w:val="left" w:pos="1660"/>
        </w:tabs>
        <w:spacing w:line="360" w:lineRule="auto"/>
        <w:jc w:val="both"/>
      </w:pPr>
    </w:p>
    <w:p w14:paraId="2110ABD8" w14:textId="07C3A125" w:rsidR="00C56F5E" w:rsidRPr="00540AF7" w:rsidRDefault="00C56F5E" w:rsidP="007076D4">
      <w:pPr>
        <w:tabs>
          <w:tab w:val="left" w:pos="1660"/>
        </w:tabs>
        <w:spacing w:line="360" w:lineRule="auto"/>
        <w:jc w:val="both"/>
      </w:pPr>
      <w:r>
        <w:rPr>
          <w:lang w:val="sr-Cyrl-RS"/>
        </w:rPr>
        <w:t>The therapeutic use of blocking monoclonal antibodies specific for the T lymphocyte inhibitory molecules CTLA-4 and PD-1 was first approved for the treatment of metastatic melanoma in 2011 and 2014. Since then, anti-PD-1 or anti-PD-L1 antibodies have been used as a treatment for various forms of malignant diseases.</w:t>
      </w:r>
    </w:p>
    <w:p w14:paraId="09734BA7" w14:textId="7709C6EE" w:rsidR="00B07334" w:rsidRPr="00540AF7" w:rsidRDefault="00C56F5E" w:rsidP="007076D4">
      <w:pPr>
        <w:tabs>
          <w:tab w:val="left" w:pos="1660"/>
        </w:tabs>
        <w:spacing w:line="360" w:lineRule="auto"/>
        <w:jc w:val="both"/>
      </w:pPr>
      <w:r>
        <w:t>The most significant feature of these therapies is that they have significantly improved the survival rates of patients with advanced metastatic tumors, which were previously almost 100% fatal within months to years. The efficacy of antibodies specific for other T lymphocyte inhibitory molecules, such as LAG-3 and TIM-3, is being actively investigated in clinical trials.</w:t>
      </w:r>
    </w:p>
    <w:p w14:paraId="2729F3E7" w14:textId="77777777" w:rsidR="00B07334" w:rsidRDefault="00B07334" w:rsidP="007076D4">
      <w:pPr>
        <w:tabs>
          <w:tab w:val="left" w:pos="1660"/>
        </w:tabs>
        <w:spacing w:line="360" w:lineRule="auto"/>
        <w:jc w:val="both"/>
        <w:rPr>
          <w:noProof/>
          <w:lang w:val="sr-Cyrl-RS"/>
          <w14:ligatures w14:val="standardContextual"/>
        </w:rPr>
      </w:pPr>
      <w:r w:rsidRPr="00B07334">
        <w:rPr>
          <w:lang w:val="sr-Cyrl-RS"/>
        </w:rPr>
        <w:t>Patients with tumors often develop ineffective T lymphocyte responses to tumors due to increased expression of inhibitory receptors such as CTLA-4 and PD-1 on tumor-specific T lymphocytes and expression of the ligand PD-L1 on tumor cells. Blocking with anti-CTLA4 antibodies (A) or anti-PD-1 or anti-PD-L1 antibodies (B) is highly effective in treating several types of advanced tumors by releasing inhibition of tumor-specific T cells by these molecules (Figure 5). Anti-CTLA-4 may act by blocking CTLA-4 on appropriate T cells (shown) or on Tregs.</w:t>
      </w:r>
    </w:p>
    <w:p w14:paraId="0F7E9B2B" w14:textId="77777777" w:rsidR="00B07334" w:rsidRDefault="00B07334" w:rsidP="007076D4">
      <w:pPr>
        <w:tabs>
          <w:tab w:val="left" w:pos="1660"/>
        </w:tabs>
        <w:spacing w:line="360" w:lineRule="auto"/>
        <w:jc w:val="both"/>
        <w:rPr>
          <w:lang w:val="sr-Cyrl-RS"/>
        </w:rPr>
      </w:pPr>
      <w:r>
        <w:rPr>
          <w:noProof/>
          <w14:ligatures w14:val="standardContextual"/>
        </w:rPr>
        <w:lastRenderedPageBreak/>
        <w:drawing>
          <wp:inline distT="0" distB="0" distL="0" distR="0" wp14:anchorId="049330B9" wp14:editId="1DC0CB74">
            <wp:extent cx="3627120" cy="2669164"/>
            <wp:effectExtent l="0" t="0" r="0" b="0"/>
            <wp:docPr id="5" name="Picture 4">
              <a:extLst xmlns:a="http://schemas.openxmlformats.org/drawingml/2006/main">
                <a:ext uri="{FF2B5EF4-FFF2-40B4-BE49-F238E27FC236}">
                  <a16:creationId xmlns:a16="http://schemas.microsoft.com/office/drawing/2014/main" id="{5625C5B5-438E-57CC-5A25-EA23119A9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25C5B5-438E-57CC-5A25-EA23119A9683}"/>
                        </a:ext>
                      </a:extLst>
                    </pic:cNvPr>
                    <pic:cNvPicPr>
                      <a:picLocks noChangeAspect="1"/>
                    </pic:cNvPicPr>
                  </pic:nvPicPr>
                  <pic:blipFill>
                    <a:blip r:embed="rId9"/>
                    <a:stretch>
                      <a:fillRect/>
                    </a:stretch>
                  </pic:blipFill>
                  <pic:spPr>
                    <a:xfrm>
                      <a:off x="0" y="0"/>
                      <a:ext cx="3635927" cy="2675645"/>
                    </a:xfrm>
                    <a:prstGeom prst="rect">
                      <a:avLst/>
                    </a:prstGeom>
                  </pic:spPr>
                </pic:pic>
              </a:graphicData>
            </a:graphic>
          </wp:inline>
        </w:drawing>
      </w:r>
    </w:p>
    <w:p w14:paraId="07138795" w14:textId="77777777" w:rsidR="00B07334" w:rsidRDefault="00B07334" w:rsidP="007076D4">
      <w:pPr>
        <w:tabs>
          <w:tab w:val="left" w:pos="1660"/>
        </w:tabs>
        <w:spacing w:line="360" w:lineRule="auto"/>
        <w:jc w:val="both"/>
        <w:rPr>
          <w:lang w:val="sr-Cyrl-RS"/>
        </w:rPr>
      </w:pPr>
    </w:p>
    <w:p w14:paraId="13451322" w14:textId="77777777" w:rsidR="00B07334" w:rsidRDefault="009649BA" w:rsidP="007076D4">
      <w:pPr>
        <w:tabs>
          <w:tab w:val="left" w:pos="1660"/>
        </w:tabs>
        <w:spacing w:line="360" w:lineRule="auto"/>
        <w:jc w:val="both"/>
        <w:rPr>
          <w:lang w:val="sr-Cyrl-RS"/>
        </w:rPr>
      </w:pPr>
      <w:r>
        <w:rPr>
          <w:lang w:val="sr-Cyrl-RS"/>
        </w:rPr>
        <w:t xml:space="preserve">                                    Figure 5</w:t>
      </w:r>
    </w:p>
    <w:p w14:paraId="5BFBB513" w14:textId="77777777" w:rsidR="00B07334" w:rsidRDefault="00B07334" w:rsidP="007076D4">
      <w:pPr>
        <w:tabs>
          <w:tab w:val="left" w:pos="1660"/>
        </w:tabs>
        <w:spacing w:line="360" w:lineRule="auto"/>
        <w:jc w:val="both"/>
        <w:rPr>
          <w:lang w:val="sr-Cyrl-RS"/>
        </w:rPr>
      </w:pPr>
    </w:p>
    <w:p w14:paraId="625E7CCE" w14:textId="77777777" w:rsidR="00CD5494" w:rsidRPr="00CD5494" w:rsidRDefault="00CD5494" w:rsidP="007076D4">
      <w:pPr>
        <w:tabs>
          <w:tab w:val="left" w:pos="1660"/>
        </w:tabs>
        <w:spacing w:line="360" w:lineRule="auto"/>
        <w:jc w:val="both"/>
        <w:rPr>
          <w:lang w:val="sr-Cyrl-RS"/>
        </w:rPr>
      </w:pPr>
      <w:r w:rsidRPr="008F3487">
        <w:rPr>
          <w:b/>
          <w:bCs/>
          <w:lang w:val="sr-Cyrl-RS"/>
        </w:rPr>
        <w:t>Therapeutic use of monoclonal antibodies specific for CTLA-4 and PD-1.</w:t>
      </w:r>
      <w:r>
        <w:rPr>
          <w:lang w:val="sr-Cyrl-RS"/>
        </w:rPr>
        <w:t>Inhibitors of CTLA-4 and PD-1 or its ligand, PD-L1, can restore antitumor immune responses—a long-term benefit in a significant proportion of treated patients. Blockade of PD-1 molecules and PD-L1 is more effective and less toxic than blockade of CTLA-4 molecules. Autoimmune and inflammatory diseases can develop as complications of PD-1, PD-L1, or CTLA-4 blockade.</w:t>
      </w:r>
    </w:p>
    <w:p w14:paraId="5DE6E20C" w14:textId="77777777" w:rsidR="00CD5494" w:rsidRDefault="00CD5494" w:rsidP="007076D4">
      <w:pPr>
        <w:tabs>
          <w:tab w:val="left" w:pos="1660"/>
        </w:tabs>
        <w:spacing w:line="360" w:lineRule="auto"/>
        <w:jc w:val="both"/>
      </w:pPr>
    </w:p>
    <w:p w14:paraId="7D7ABFD2" w14:textId="50D45AEE" w:rsidR="00B07334" w:rsidRDefault="00B07334" w:rsidP="007076D4">
      <w:pPr>
        <w:tabs>
          <w:tab w:val="left" w:pos="1660"/>
        </w:tabs>
        <w:spacing w:line="360" w:lineRule="auto"/>
        <w:jc w:val="both"/>
      </w:pPr>
      <w:r w:rsidRPr="008F3487">
        <w:rPr>
          <w:b/>
          <w:bCs/>
        </w:rPr>
        <w:t>Ipilimumab</w:t>
      </w:r>
      <w:r w:rsidR="0067185C">
        <w:rPr>
          <w:b/>
          <w:bCs/>
        </w:rPr>
        <w:t xml:space="preserve"> </w:t>
      </w:r>
      <w:r w:rsidRPr="00B07334">
        <w:t>is a monoclonal antibody that acts as an inhibitor of the immunosuppressive receptor CTLA-4, which is normally found on the surface of T-lymphocytes. By blocking CTLA-4, ipilimumab enhances the immune response of T lymphocytes against tumor cells, (it has shown significant results in the treatment of melanoma). Ipilimumab is one of the first drugs to show significantly longer survival in patients with metastatic melanoma, and was later applied to other types of tumors. However, this drug causes numerous side effects, some of which can be life-threatening. Milder side effects include skin rash, fatigue, malaise, diarrhea, while more serious and severe side effects include inflammatory diseases of the intestines, skin, liver and endocrine glands, as well as neurological problems.</w:t>
      </w:r>
    </w:p>
    <w:p w14:paraId="691DD6D8" w14:textId="77777777" w:rsidR="00CD5494" w:rsidRDefault="00CD5494" w:rsidP="007076D4">
      <w:pPr>
        <w:tabs>
          <w:tab w:val="left" w:pos="1660"/>
        </w:tabs>
        <w:spacing w:line="360" w:lineRule="auto"/>
        <w:jc w:val="both"/>
        <w:rPr>
          <w:lang w:val="sr-Cyrl-RS"/>
        </w:rPr>
      </w:pPr>
    </w:p>
    <w:p w14:paraId="38C80A8A" w14:textId="77777777" w:rsidR="008F3487" w:rsidRDefault="008F3487" w:rsidP="007076D4">
      <w:pPr>
        <w:tabs>
          <w:tab w:val="left" w:pos="1660"/>
        </w:tabs>
        <w:spacing w:line="360" w:lineRule="auto"/>
        <w:jc w:val="both"/>
        <w:rPr>
          <w:lang w:val="sr-Cyrl-RS"/>
        </w:rPr>
      </w:pPr>
      <w:r w:rsidRPr="008F3487">
        <w:rPr>
          <w:b/>
          <w:bCs/>
          <w:lang w:val="sr-Cyrl-RS"/>
        </w:rPr>
        <w:t>PD-1 inhibitors:</w:t>
      </w:r>
    </w:p>
    <w:p w14:paraId="6D492373" w14:textId="7DB14A4D" w:rsidR="008F3487" w:rsidRPr="00E40773" w:rsidRDefault="008F3487" w:rsidP="007076D4">
      <w:pPr>
        <w:tabs>
          <w:tab w:val="left" w:pos="1660"/>
        </w:tabs>
        <w:spacing w:line="360" w:lineRule="auto"/>
        <w:jc w:val="both"/>
        <w:rPr>
          <w:lang w:val="sr-Cyrl-RS"/>
        </w:rPr>
      </w:pPr>
      <w:r w:rsidRPr="008F3487">
        <w:rPr>
          <w:b/>
          <w:bCs/>
        </w:rPr>
        <w:t>Nivolumab</w:t>
      </w:r>
      <w:r w:rsidR="0067185C">
        <w:rPr>
          <w:b/>
          <w:bCs/>
        </w:rPr>
        <w:t xml:space="preserve"> </w:t>
      </w:r>
      <w:r w:rsidRPr="008F3487">
        <w:t xml:space="preserve">is a humanized monoclonal antibody that blocks the PD-1 receptor on T lymphocytes and prevents the binding of this receptor to PD-L1 and PD-L2, which are often expressed on tumor cells and cells in the tumor microenvironment. This blockade allows the </w:t>
      </w:r>
      <w:r w:rsidRPr="008F3487">
        <w:lastRenderedPageBreak/>
        <w:t>activation of T lymphocytes that are able to recognize tumor cells and kill them. Nivolumab is used to treat various types of malignant diseases, such as melanoma, lung cancer, kidney cancer, Hodgkin lymphoma. The drug has shown very good results in terms of patient survival and response to therapy in advanced forms of the disease. Side effects occur due to excessive activation of T lymphocytes. These side effects can affect various tissues and organs and resemble autoimmune diseases. The most common side effects are: dermatological manifestations (rash, itching, vitiligo), gastrointestinal disorders: (diarrhea, colitis, intestinal perforation), endocrine disorders (hypothyroidism, hyperthyroidism, type 1 diabetes), pulmonary disorders (pneumonitis), hepatic disorders (hepatitis), nephrological disorders (nephritis).</w:t>
      </w:r>
    </w:p>
    <w:p w14:paraId="29E1F262" w14:textId="77777777" w:rsidR="008F3487" w:rsidRPr="008F3487" w:rsidRDefault="008F3487" w:rsidP="007076D4">
      <w:pPr>
        <w:tabs>
          <w:tab w:val="left" w:pos="1660"/>
        </w:tabs>
        <w:spacing w:line="360" w:lineRule="auto"/>
        <w:jc w:val="both"/>
        <w:rPr>
          <w:lang w:val="sr-Cyrl-RS"/>
        </w:rPr>
      </w:pPr>
    </w:p>
    <w:p w14:paraId="5C1C59F7" w14:textId="0B01A7FA" w:rsidR="00E40773" w:rsidRPr="00E40773" w:rsidRDefault="008F3487" w:rsidP="007076D4">
      <w:pPr>
        <w:tabs>
          <w:tab w:val="left" w:pos="1660"/>
        </w:tabs>
        <w:spacing w:line="360" w:lineRule="auto"/>
        <w:jc w:val="both"/>
        <w:rPr>
          <w:lang w:val="sr-Cyrl-RS"/>
        </w:rPr>
      </w:pPr>
      <w:r w:rsidRPr="00E40773">
        <w:rPr>
          <w:b/>
          <w:bCs/>
        </w:rPr>
        <w:t>Pembrolizumab</w:t>
      </w:r>
      <w:r w:rsidR="0067185C">
        <w:rPr>
          <w:b/>
          <w:bCs/>
        </w:rPr>
        <w:t xml:space="preserve"> </w:t>
      </w:r>
      <w:r w:rsidRPr="008F3487">
        <w:t>is a humanized monoclonal antibody that inhibits PD-1 (Figure 6). It is approved for the treatment of several types of cancer, such as melanoma, non-small cell lung cancer, squamous cell carcinoma of the head and neck, Hodgkin lymphoma, primary mediastinal B-cell lymphoma, urothelial carcinoma, colorectal carcinoma, gastric adenocarcinoma, PD-1-expressing cervical carcinoma, hepatocellular carcinoma, renal cell carcinoma, squamous cell carcinoma of the skin,</w:t>
      </w:r>
    </w:p>
    <w:p w14:paraId="46B433B1" w14:textId="77777777" w:rsidR="008F3487" w:rsidRDefault="00E40773" w:rsidP="007076D4">
      <w:pPr>
        <w:tabs>
          <w:tab w:val="left" w:pos="1660"/>
        </w:tabs>
        <w:spacing w:line="360" w:lineRule="auto"/>
        <w:jc w:val="both"/>
      </w:pPr>
      <w:r w:rsidRPr="00E40773">
        <w:t>triple-negative breast cancer. It is particularly important because it can control the disease in the long term and prolong survival in patients with advanced disease. However, like other immune checkpoint inhibitors, pembrolizumab can cause immune-mediated side effects, which requires careful monitoring during therapy.</w:t>
      </w:r>
    </w:p>
    <w:p w14:paraId="0A2FFAC6" w14:textId="77777777" w:rsidR="00B97E33" w:rsidRDefault="00B97E33" w:rsidP="007076D4">
      <w:pPr>
        <w:tabs>
          <w:tab w:val="left" w:pos="1660"/>
        </w:tabs>
        <w:spacing w:line="360" w:lineRule="auto"/>
        <w:jc w:val="both"/>
      </w:pPr>
    </w:p>
    <w:p w14:paraId="6DB43FDD" w14:textId="77777777" w:rsidR="00B97E33" w:rsidRDefault="00B97E33" w:rsidP="007076D4">
      <w:pPr>
        <w:tabs>
          <w:tab w:val="left" w:pos="1660"/>
        </w:tabs>
        <w:spacing w:line="360" w:lineRule="auto"/>
        <w:jc w:val="both"/>
        <w:rPr>
          <w:lang w:val="sr-Cyrl-RS"/>
        </w:rPr>
      </w:pPr>
      <w:r>
        <w:rPr>
          <w:noProof/>
        </w:rPr>
        <w:drawing>
          <wp:inline distT="0" distB="0" distL="0" distR="0" wp14:anchorId="0849D4FF" wp14:editId="25835531">
            <wp:extent cx="3233420" cy="2586879"/>
            <wp:effectExtent l="0" t="0" r="5080" b="4445"/>
            <wp:docPr id="1187920012" name="Picture 1" descr="Two-panel illustration showing the interaction between T cells and tumor cells. The left panel is titled &quot;PD-L1 binds to PD-1 and inhibits T cell killing of tumor cell&quot; and shows an antigen and T cell receptor, illustrating the inhibition of T cell activity. The right panel is titled &quot;Blocking PD-L1 or PD-1 allows T cell killing of tumor cell&quot; and shows tumor cell death, indicating successful T cell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wo-panel illustration showing the interaction between T cells and tumor cells. The left panel is titled &quot;PD-L1 binds to PD-1 and inhibits T cell killing of tumor cell&quot; and shows an antigen and T cell receptor, illustrating the inhibition of T cell activity. The right panel is titled &quot;Blocking PD-L1 or PD-1 allows T cell killing of tumor cell&quot; and shows tumor cell death, indicating successful T cell activit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4378" cy="2603646"/>
                    </a:xfrm>
                    <a:prstGeom prst="rect">
                      <a:avLst/>
                    </a:prstGeom>
                    <a:noFill/>
                    <a:ln>
                      <a:noFill/>
                    </a:ln>
                  </pic:spPr>
                </pic:pic>
              </a:graphicData>
            </a:graphic>
          </wp:inline>
        </w:drawing>
      </w:r>
    </w:p>
    <w:p w14:paraId="3702FB7E" w14:textId="77777777" w:rsidR="001F1137" w:rsidRDefault="00B97E33" w:rsidP="007076D4">
      <w:pPr>
        <w:tabs>
          <w:tab w:val="left" w:pos="1660"/>
        </w:tabs>
        <w:spacing w:line="360" w:lineRule="auto"/>
        <w:jc w:val="both"/>
        <w:rPr>
          <w:lang w:val="sr-Cyrl-RS"/>
        </w:rPr>
      </w:pPr>
      <w:r>
        <w:rPr>
          <w:lang w:val="sr-Cyrl-RS"/>
        </w:rPr>
        <w:t xml:space="preserve">                                    Figure 6</w:t>
      </w:r>
    </w:p>
    <w:p w14:paraId="0876F482" w14:textId="77777777" w:rsidR="00B97E33" w:rsidRDefault="00B97E33" w:rsidP="007076D4">
      <w:pPr>
        <w:tabs>
          <w:tab w:val="left" w:pos="1660"/>
        </w:tabs>
        <w:spacing w:line="360" w:lineRule="auto"/>
        <w:jc w:val="both"/>
        <w:rPr>
          <w:b/>
          <w:bCs/>
          <w:lang w:val="sr-Cyrl-RS"/>
        </w:rPr>
      </w:pPr>
    </w:p>
    <w:p w14:paraId="568EC9A3" w14:textId="77777777" w:rsidR="00B97E33" w:rsidRDefault="00B97E33" w:rsidP="007076D4">
      <w:pPr>
        <w:tabs>
          <w:tab w:val="left" w:pos="1660"/>
        </w:tabs>
        <w:spacing w:line="360" w:lineRule="auto"/>
        <w:jc w:val="both"/>
        <w:rPr>
          <w:b/>
          <w:bCs/>
          <w:lang w:val="sr-Cyrl-RS"/>
        </w:rPr>
      </w:pPr>
    </w:p>
    <w:p w14:paraId="3EDA44B6" w14:textId="667B0218" w:rsidR="001F1137" w:rsidRPr="001F1137" w:rsidRDefault="001F1137" w:rsidP="007076D4">
      <w:pPr>
        <w:tabs>
          <w:tab w:val="left" w:pos="1660"/>
        </w:tabs>
        <w:spacing w:line="360" w:lineRule="auto"/>
        <w:jc w:val="both"/>
        <w:rPr>
          <w:lang w:val="sr-Cyrl-RS"/>
        </w:rPr>
      </w:pPr>
      <w:r w:rsidRPr="001F1137">
        <w:rPr>
          <w:b/>
          <w:bCs/>
        </w:rPr>
        <w:t>Atezolizumab</w:t>
      </w:r>
      <w:r w:rsidR="0067185C">
        <w:rPr>
          <w:b/>
          <w:bCs/>
        </w:rPr>
        <w:t xml:space="preserve"> </w:t>
      </w:r>
      <w:r w:rsidRPr="001F1137">
        <w:t>is a humanized monoclonal antibody that acts as an inhibitor of PD-L1, which tumor cells often express to evade the immune response. By binding to PD-L1, atezolizumab prevents the interaction of this ligand with the PD-1 receptor on T lymphocytes and thereby significantly enhances the antitumor immune response of T lymphocytes. It is used in the treatment of various types of cancer, such as lung cancer, urothelial cancer and triple-negative breast cancer. Atezolizumab is an important representative of the class of immuno-oncology drugs that provide a significant improvement in survival in a certain population of patients. Immune-mediated side effects, such as pneumonia, colitis or hypothyroidism, may occur during therapy, which is why these patients must be carefully monitored during therapy.</w:t>
      </w:r>
    </w:p>
    <w:p w14:paraId="568AD36E" w14:textId="77777777" w:rsidR="008F3487" w:rsidRPr="008F3487" w:rsidRDefault="008F3487" w:rsidP="007076D4">
      <w:pPr>
        <w:tabs>
          <w:tab w:val="left" w:pos="1660"/>
        </w:tabs>
        <w:spacing w:line="360" w:lineRule="auto"/>
        <w:jc w:val="both"/>
        <w:rPr>
          <w:lang w:val="sr-Cyrl-RS"/>
        </w:rPr>
      </w:pPr>
    </w:p>
    <w:p w14:paraId="26DE1095" w14:textId="77777777" w:rsidR="00CD5494" w:rsidRDefault="00CD5494" w:rsidP="007076D4">
      <w:pPr>
        <w:tabs>
          <w:tab w:val="left" w:pos="1660"/>
        </w:tabs>
        <w:spacing w:line="360" w:lineRule="auto"/>
        <w:jc w:val="both"/>
        <w:rPr>
          <w:lang w:val="sr-Cyrl-RS"/>
        </w:rPr>
      </w:pPr>
    </w:p>
    <w:p w14:paraId="302EF401" w14:textId="77777777" w:rsidR="00A6581A" w:rsidRDefault="00A6581A" w:rsidP="007076D4">
      <w:pPr>
        <w:tabs>
          <w:tab w:val="left" w:pos="1660"/>
        </w:tabs>
        <w:spacing w:line="360" w:lineRule="auto"/>
        <w:jc w:val="both"/>
        <w:rPr>
          <w:lang w:val="sr-Cyrl-RS"/>
        </w:rPr>
      </w:pPr>
      <w:r w:rsidRPr="00A6581A">
        <w:rPr>
          <w:b/>
          <w:bCs/>
          <w:lang w:val="sr-Cyrl-RS"/>
        </w:rPr>
        <w:t>Efficacy of immune checkpoint blockade.</w:t>
      </w:r>
      <w:r w:rsidR="00F345EE" w:rsidRPr="00F345EE">
        <w:t>Immune checkpoint blockade therapy targeting programmed cell death 1 (PD-1) and programmed cell death ligand 1 (PD-L1) has revolutionized the treatment of malignant diseases in the last decade. Currently, three monoclonal antibodies against PD-1 (cemiplimab, nivolumab, and pembrolizumab) and three PD-L1 inhibitors (atezolizumab, avelumab, and durvalumab) have been approved by the US Food and Drug Administration for dozens of indications. These inhibitors have statistically improved overall survival of patients and have emerged as standard therapy for multiple malignancies. Although the efficacy of checkpoint blockade therapy for many advanced tumors is superior to any previously used form of therapy, only a certain number of patients (at most 25% to 40%) respond to this treatment. The reasons for this modest response are not well understood. It is known that tumors that do not respond to this type of therapy may express other inhibitory molecules in addition to those targeted by the therapy, or they may have evolved mechanisms to evade the effects of these drugs. Currently, the main challenge for immunotherapy is finding ideal biomarkers that can identify patients who will respond favorably to therapy and avoid serious side effects and unnecessary costs for those who do not respond. Despite limited efficacy, immune checkpoint blockade remains one of the most promising modalities in the treatment of malignant diseases.</w:t>
      </w:r>
    </w:p>
    <w:p w14:paraId="145395F8" w14:textId="77777777" w:rsidR="004769DF" w:rsidRPr="004769DF" w:rsidRDefault="004769DF" w:rsidP="007076D4">
      <w:pPr>
        <w:tabs>
          <w:tab w:val="left" w:pos="1660"/>
        </w:tabs>
        <w:spacing w:line="360" w:lineRule="auto"/>
        <w:jc w:val="both"/>
        <w:rPr>
          <w:lang w:val="sr-Cyrl-RS"/>
        </w:rPr>
      </w:pPr>
    </w:p>
    <w:p w14:paraId="65AD0922" w14:textId="77777777" w:rsidR="00A6581A" w:rsidRDefault="00A6581A" w:rsidP="007076D4">
      <w:pPr>
        <w:tabs>
          <w:tab w:val="left" w:pos="1660"/>
        </w:tabs>
        <w:spacing w:line="360" w:lineRule="auto"/>
        <w:jc w:val="both"/>
      </w:pPr>
      <w:r w:rsidRPr="00A6581A">
        <w:rPr>
          <w:lang w:val="sr-Cyrl-RS"/>
        </w:rPr>
        <w:t xml:space="preserve">One of the most reliable indicators that a tumor will respond to checkpoint blockade therapy is if it carries a large number of mutations, which correlates with a large number of neoantigens and host T cells that can respond to those antigens. In fact, tumors that lack repair enzymes, </w:t>
      </w:r>
      <w:r w:rsidRPr="00A6581A">
        <w:rPr>
          <w:lang w:val="sr-Cyrl-RS"/>
        </w:rPr>
        <w:lastRenderedPageBreak/>
        <w:t>which normally correct errors in DNA replication, have the highest mutation burden of all cancers, and these cancers are most likely to respond best to checkpoint blockade therapy.</w:t>
      </w:r>
    </w:p>
    <w:p w14:paraId="3A44467A" w14:textId="77777777" w:rsidR="00F345EE" w:rsidRDefault="00F345EE" w:rsidP="007076D4">
      <w:pPr>
        <w:tabs>
          <w:tab w:val="left" w:pos="1660"/>
        </w:tabs>
        <w:spacing w:line="360" w:lineRule="auto"/>
        <w:jc w:val="both"/>
        <w:rPr>
          <w:lang w:val="sr-Cyrl-RS"/>
        </w:rPr>
      </w:pPr>
    </w:p>
    <w:p w14:paraId="68508A17" w14:textId="77777777" w:rsidR="004769DF" w:rsidRDefault="004769DF" w:rsidP="007076D4">
      <w:pPr>
        <w:tabs>
          <w:tab w:val="left" w:pos="1660"/>
        </w:tabs>
        <w:spacing w:line="360" w:lineRule="auto"/>
        <w:jc w:val="both"/>
        <w:rPr>
          <w:lang w:val="sr-Cyrl-RS"/>
        </w:rPr>
      </w:pPr>
      <w:r w:rsidRPr="004769DF">
        <w:rPr>
          <w:lang w:val="sr-Cyrl-RS"/>
        </w:rPr>
        <w:t>Previous studies have found that immunohistochemical staining for PD-L1, microsatellite instability, tumor mutation burden, T-cell receptor clonality, T-cell infiltration levels, and peripheral blood biomarkers are associated with clinical response to immunotherapy. Among them, PD-L1 expression has been considered a biologically plausible biomarker for predicting response to immunotherapy treatment. Currently, the FDA has approved companion diagnostic tests for PD-L1 expression in patients with lung cancer, urothelial cancer, renal cell carcinoma, and melanoma.</w:t>
      </w:r>
    </w:p>
    <w:p w14:paraId="4088363D" w14:textId="77777777" w:rsidR="00874912" w:rsidRDefault="00874912" w:rsidP="007076D4">
      <w:pPr>
        <w:tabs>
          <w:tab w:val="left" w:pos="1660"/>
        </w:tabs>
        <w:spacing w:line="360" w:lineRule="auto"/>
        <w:jc w:val="both"/>
        <w:rPr>
          <w:lang w:val="sr-Cyrl-RS"/>
        </w:rPr>
      </w:pPr>
    </w:p>
    <w:p w14:paraId="38E230F1" w14:textId="753D33BB" w:rsidR="00874912" w:rsidRPr="00B97E33" w:rsidRDefault="00874912" w:rsidP="007076D4">
      <w:pPr>
        <w:tabs>
          <w:tab w:val="left" w:pos="1660"/>
        </w:tabs>
        <w:spacing w:line="360" w:lineRule="auto"/>
        <w:jc w:val="both"/>
      </w:pPr>
      <w:r w:rsidRPr="00874912">
        <w:rPr>
          <w:b/>
          <w:bCs/>
        </w:rPr>
        <w:t>Combination therapy.</w:t>
      </w:r>
      <w:r w:rsidRPr="00874912">
        <w:t xml:space="preserve"> Monotherapy with checkpoint inhibitors achieves good results in a certain number of patients. The fact that CTLA-4 and PD-1 are not functionally identical and that they act at different sites and at different times gave scientists and doctors the idea to test the efficacy of combination therapy that can act complementary or even synergistically. Combination therapy of immune checkpoints is a therapeutic modality that involves the simultaneous use of multiple inhibitors of different immune checkpoints, such as CTLA-4 and PD-1/PD-L1. The goal of this type of treatment is to stimulate and enhance the antitumor immune response by simultaneously acting on multiple levels of T lymphocyte function regulation. Today, the simultaneous use of ipilimumab (CTLA-4 inhibitor) and nivolumab (PD-1 inhibitor) is current. This therapy has shown a significant increase in survival of patients diagnosed with metastatic melanoma compared to monotherapy. Although combination therapy enhances the antitumor immune response, it also increases the risk of immune-mediated side effects. In the event of severe side effects, it is necessary to immediately discontinue therapy and initiate immunosuppressive therapy (e.g. corticosteroids).</w:t>
      </w:r>
    </w:p>
    <w:sectPr w:rsidR="00874912" w:rsidRPr="00B97E3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A84D63"/>
    <w:multiLevelType w:val="multilevel"/>
    <w:tmpl w:val="465C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F036A3C"/>
    <w:multiLevelType w:val="multilevel"/>
    <w:tmpl w:val="B0BA6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44736385">
    <w:abstractNumId w:val="1"/>
  </w:num>
  <w:num w:numId="2" w16cid:durableId="6519540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6DC6"/>
    <w:rsid w:val="0009717B"/>
    <w:rsid w:val="001650C8"/>
    <w:rsid w:val="001E0CAE"/>
    <w:rsid w:val="001F1137"/>
    <w:rsid w:val="002A0B32"/>
    <w:rsid w:val="003E72AE"/>
    <w:rsid w:val="00445771"/>
    <w:rsid w:val="0045775F"/>
    <w:rsid w:val="00466888"/>
    <w:rsid w:val="004769DF"/>
    <w:rsid w:val="004D578B"/>
    <w:rsid w:val="00540AF7"/>
    <w:rsid w:val="0055505A"/>
    <w:rsid w:val="00627DF0"/>
    <w:rsid w:val="0067185C"/>
    <w:rsid w:val="00686F49"/>
    <w:rsid w:val="00702361"/>
    <w:rsid w:val="007076D4"/>
    <w:rsid w:val="00711735"/>
    <w:rsid w:val="0071786A"/>
    <w:rsid w:val="00766336"/>
    <w:rsid w:val="007A3540"/>
    <w:rsid w:val="007F3CA4"/>
    <w:rsid w:val="00874912"/>
    <w:rsid w:val="00887F2F"/>
    <w:rsid w:val="008F3487"/>
    <w:rsid w:val="0095369D"/>
    <w:rsid w:val="009649BA"/>
    <w:rsid w:val="009732E4"/>
    <w:rsid w:val="00A1205F"/>
    <w:rsid w:val="00A6581A"/>
    <w:rsid w:val="00A74DDD"/>
    <w:rsid w:val="00A90C60"/>
    <w:rsid w:val="00AA4520"/>
    <w:rsid w:val="00B07334"/>
    <w:rsid w:val="00B95316"/>
    <w:rsid w:val="00B97E33"/>
    <w:rsid w:val="00C04D2A"/>
    <w:rsid w:val="00C56F5E"/>
    <w:rsid w:val="00C766E5"/>
    <w:rsid w:val="00CD5494"/>
    <w:rsid w:val="00CE6DC6"/>
    <w:rsid w:val="00D6266E"/>
    <w:rsid w:val="00E13897"/>
    <w:rsid w:val="00E40773"/>
    <w:rsid w:val="00EC2306"/>
    <w:rsid w:val="00F01BEB"/>
    <w:rsid w:val="00F07ECE"/>
    <w:rsid w:val="00F345EE"/>
    <w:rsid w:val="00FA2973"/>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A4468"/>
  <w15:chartTrackingRefBased/>
  <w15:docId w15:val="{AEDF5AC1-B72E-45BB-8370-904454055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r-Latn-R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6DC6"/>
    <w:pPr>
      <w:spacing w:after="0" w:line="240" w:lineRule="auto"/>
    </w:pPr>
    <w:rPr>
      <w:rFonts w:ascii="Times New Roman" w:eastAsia="Times New Roman" w:hAnsi="Times New Roman" w:cs="Times New Roman"/>
      <w:kern w:val="0"/>
      <w:sz w:val="24"/>
      <w:szCs w:val="24"/>
      <w:lang w:val="en-US"/>
      <w14:ligatures w14:val="none"/>
    </w:rPr>
  </w:style>
  <w:style w:type="paragraph" w:styleId="Heading1">
    <w:name w:val="heading 1"/>
    <w:basedOn w:val="Normal"/>
    <w:next w:val="Normal"/>
    <w:link w:val="Heading1Char"/>
    <w:uiPriority w:val="9"/>
    <w:qFormat/>
    <w:rsid w:val="00CE6DC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E6DC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E6DC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E6DC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E6DC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E6DC6"/>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E6DC6"/>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E6DC6"/>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E6DC6"/>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6DC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E6DC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E6DC6"/>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E6DC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E6DC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E6DC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E6DC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E6DC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E6DC6"/>
    <w:rPr>
      <w:rFonts w:eastAsiaTheme="majorEastAsia" w:cstheme="majorBidi"/>
      <w:color w:val="272727" w:themeColor="text1" w:themeTint="D8"/>
    </w:rPr>
  </w:style>
  <w:style w:type="paragraph" w:styleId="Title">
    <w:name w:val="Title"/>
    <w:basedOn w:val="Normal"/>
    <w:next w:val="Normal"/>
    <w:link w:val="TitleChar"/>
    <w:uiPriority w:val="10"/>
    <w:qFormat/>
    <w:rsid w:val="00CE6DC6"/>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E6DC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6DC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E6DC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6DC6"/>
    <w:pPr>
      <w:spacing w:before="160"/>
      <w:jc w:val="center"/>
    </w:pPr>
    <w:rPr>
      <w:i/>
      <w:iCs/>
      <w:color w:val="404040" w:themeColor="text1" w:themeTint="BF"/>
    </w:rPr>
  </w:style>
  <w:style w:type="character" w:customStyle="1" w:styleId="QuoteChar">
    <w:name w:val="Quote Char"/>
    <w:basedOn w:val="DefaultParagraphFont"/>
    <w:link w:val="Quote"/>
    <w:uiPriority w:val="29"/>
    <w:rsid w:val="00CE6DC6"/>
    <w:rPr>
      <w:i/>
      <w:iCs/>
      <w:color w:val="404040" w:themeColor="text1" w:themeTint="BF"/>
    </w:rPr>
  </w:style>
  <w:style w:type="paragraph" w:styleId="ListParagraph">
    <w:name w:val="List Paragraph"/>
    <w:basedOn w:val="Normal"/>
    <w:uiPriority w:val="34"/>
    <w:qFormat/>
    <w:rsid w:val="00CE6DC6"/>
    <w:pPr>
      <w:ind w:left="720"/>
      <w:contextualSpacing/>
    </w:pPr>
  </w:style>
  <w:style w:type="character" w:styleId="IntenseEmphasis">
    <w:name w:val="Intense Emphasis"/>
    <w:basedOn w:val="DefaultParagraphFont"/>
    <w:uiPriority w:val="21"/>
    <w:qFormat/>
    <w:rsid w:val="00CE6DC6"/>
    <w:rPr>
      <w:i/>
      <w:iCs/>
      <w:color w:val="2F5496" w:themeColor="accent1" w:themeShade="BF"/>
    </w:rPr>
  </w:style>
  <w:style w:type="paragraph" w:styleId="IntenseQuote">
    <w:name w:val="Intense Quote"/>
    <w:basedOn w:val="Normal"/>
    <w:next w:val="Normal"/>
    <w:link w:val="IntenseQuoteChar"/>
    <w:uiPriority w:val="30"/>
    <w:qFormat/>
    <w:rsid w:val="00CE6DC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E6DC6"/>
    <w:rPr>
      <w:i/>
      <w:iCs/>
      <w:color w:val="2F5496" w:themeColor="accent1" w:themeShade="BF"/>
    </w:rPr>
  </w:style>
  <w:style w:type="character" w:styleId="IntenseReference">
    <w:name w:val="Intense Reference"/>
    <w:basedOn w:val="DefaultParagraphFont"/>
    <w:uiPriority w:val="32"/>
    <w:qFormat/>
    <w:rsid w:val="00CE6DC6"/>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34230">
      <w:bodyDiv w:val="1"/>
      <w:marLeft w:val="0"/>
      <w:marRight w:val="0"/>
      <w:marTop w:val="0"/>
      <w:marBottom w:val="0"/>
      <w:divBdr>
        <w:top w:val="none" w:sz="0" w:space="0" w:color="auto"/>
        <w:left w:val="none" w:sz="0" w:space="0" w:color="auto"/>
        <w:bottom w:val="none" w:sz="0" w:space="0" w:color="auto"/>
        <w:right w:val="none" w:sz="0" w:space="0" w:color="auto"/>
      </w:divBdr>
    </w:div>
    <w:div w:id="70934890">
      <w:bodyDiv w:val="1"/>
      <w:marLeft w:val="0"/>
      <w:marRight w:val="0"/>
      <w:marTop w:val="0"/>
      <w:marBottom w:val="0"/>
      <w:divBdr>
        <w:top w:val="none" w:sz="0" w:space="0" w:color="auto"/>
        <w:left w:val="none" w:sz="0" w:space="0" w:color="auto"/>
        <w:bottom w:val="none" w:sz="0" w:space="0" w:color="auto"/>
        <w:right w:val="none" w:sz="0" w:space="0" w:color="auto"/>
      </w:divBdr>
      <w:divsChild>
        <w:div w:id="1097991027">
          <w:marLeft w:val="547"/>
          <w:marRight w:val="0"/>
          <w:marTop w:val="115"/>
          <w:marBottom w:val="0"/>
          <w:divBdr>
            <w:top w:val="none" w:sz="0" w:space="0" w:color="auto"/>
            <w:left w:val="none" w:sz="0" w:space="0" w:color="auto"/>
            <w:bottom w:val="none" w:sz="0" w:space="0" w:color="auto"/>
            <w:right w:val="none" w:sz="0" w:space="0" w:color="auto"/>
          </w:divBdr>
        </w:div>
        <w:div w:id="784470677">
          <w:marLeft w:val="547"/>
          <w:marRight w:val="0"/>
          <w:marTop w:val="115"/>
          <w:marBottom w:val="0"/>
          <w:divBdr>
            <w:top w:val="none" w:sz="0" w:space="0" w:color="auto"/>
            <w:left w:val="none" w:sz="0" w:space="0" w:color="auto"/>
            <w:bottom w:val="none" w:sz="0" w:space="0" w:color="auto"/>
            <w:right w:val="none" w:sz="0" w:space="0" w:color="auto"/>
          </w:divBdr>
        </w:div>
        <w:div w:id="814642303">
          <w:marLeft w:val="547"/>
          <w:marRight w:val="0"/>
          <w:marTop w:val="115"/>
          <w:marBottom w:val="0"/>
          <w:divBdr>
            <w:top w:val="none" w:sz="0" w:space="0" w:color="auto"/>
            <w:left w:val="none" w:sz="0" w:space="0" w:color="auto"/>
            <w:bottom w:val="none" w:sz="0" w:space="0" w:color="auto"/>
            <w:right w:val="none" w:sz="0" w:space="0" w:color="auto"/>
          </w:divBdr>
        </w:div>
        <w:div w:id="346100854">
          <w:marLeft w:val="547"/>
          <w:marRight w:val="0"/>
          <w:marTop w:val="115"/>
          <w:marBottom w:val="0"/>
          <w:divBdr>
            <w:top w:val="none" w:sz="0" w:space="0" w:color="auto"/>
            <w:left w:val="none" w:sz="0" w:space="0" w:color="auto"/>
            <w:bottom w:val="none" w:sz="0" w:space="0" w:color="auto"/>
            <w:right w:val="none" w:sz="0" w:space="0" w:color="auto"/>
          </w:divBdr>
        </w:div>
      </w:divsChild>
    </w:div>
    <w:div w:id="93289688">
      <w:bodyDiv w:val="1"/>
      <w:marLeft w:val="0"/>
      <w:marRight w:val="0"/>
      <w:marTop w:val="0"/>
      <w:marBottom w:val="0"/>
      <w:divBdr>
        <w:top w:val="none" w:sz="0" w:space="0" w:color="auto"/>
        <w:left w:val="none" w:sz="0" w:space="0" w:color="auto"/>
        <w:bottom w:val="none" w:sz="0" w:space="0" w:color="auto"/>
        <w:right w:val="none" w:sz="0" w:space="0" w:color="auto"/>
      </w:divBdr>
    </w:div>
    <w:div w:id="220798132">
      <w:bodyDiv w:val="1"/>
      <w:marLeft w:val="0"/>
      <w:marRight w:val="0"/>
      <w:marTop w:val="0"/>
      <w:marBottom w:val="0"/>
      <w:divBdr>
        <w:top w:val="none" w:sz="0" w:space="0" w:color="auto"/>
        <w:left w:val="none" w:sz="0" w:space="0" w:color="auto"/>
        <w:bottom w:val="none" w:sz="0" w:space="0" w:color="auto"/>
        <w:right w:val="none" w:sz="0" w:space="0" w:color="auto"/>
      </w:divBdr>
      <w:divsChild>
        <w:div w:id="1012150188">
          <w:marLeft w:val="547"/>
          <w:marRight w:val="0"/>
          <w:marTop w:val="115"/>
          <w:marBottom w:val="0"/>
          <w:divBdr>
            <w:top w:val="none" w:sz="0" w:space="0" w:color="auto"/>
            <w:left w:val="none" w:sz="0" w:space="0" w:color="auto"/>
            <w:bottom w:val="none" w:sz="0" w:space="0" w:color="auto"/>
            <w:right w:val="none" w:sz="0" w:space="0" w:color="auto"/>
          </w:divBdr>
        </w:div>
        <w:div w:id="1091927618">
          <w:marLeft w:val="547"/>
          <w:marRight w:val="0"/>
          <w:marTop w:val="115"/>
          <w:marBottom w:val="0"/>
          <w:divBdr>
            <w:top w:val="none" w:sz="0" w:space="0" w:color="auto"/>
            <w:left w:val="none" w:sz="0" w:space="0" w:color="auto"/>
            <w:bottom w:val="none" w:sz="0" w:space="0" w:color="auto"/>
            <w:right w:val="none" w:sz="0" w:space="0" w:color="auto"/>
          </w:divBdr>
        </w:div>
        <w:div w:id="1596090402">
          <w:marLeft w:val="547"/>
          <w:marRight w:val="0"/>
          <w:marTop w:val="115"/>
          <w:marBottom w:val="0"/>
          <w:divBdr>
            <w:top w:val="none" w:sz="0" w:space="0" w:color="auto"/>
            <w:left w:val="none" w:sz="0" w:space="0" w:color="auto"/>
            <w:bottom w:val="none" w:sz="0" w:space="0" w:color="auto"/>
            <w:right w:val="none" w:sz="0" w:space="0" w:color="auto"/>
          </w:divBdr>
        </w:div>
        <w:div w:id="1504055157">
          <w:marLeft w:val="547"/>
          <w:marRight w:val="0"/>
          <w:marTop w:val="115"/>
          <w:marBottom w:val="0"/>
          <w:divBdr>
            <w:top w:val="none" w:sz="0" w:space="0" w:color="auto"/>
            <w:left w:val="none" w:sz="0" w:space="0" w:color="auto"/>
            <w:bottom w:val="none" w:sz="0" w:space="0" w:color="auto"/>
            <w:right w:val="none" w:sz="0" w:space="0" w:color="auto"/>
          </w:divBdr>
        </w:div>
      </w:divsChild>
    </w:div>
    <w:div w:id="310714460">
      <w:bodyDiv w:val="1"/>
      <w:marLeft w:val="0"/>
      <w:marRight w:val="0"/>
      <w:marTop w:val="0"/>
      <w:marBottom w:val="0"/>
      <w:divBdr>
        <w:top w:val="none" w:sz="0" w:space="0" w:color="auto"/>
        <w:left w:val="none" w:sz="0" w:space="0" w:color="auto"/>
        <w:bottom w:val="none" w:sz="0" w:space="0" w:color="auto"/>
        <w:right w:val="none" w:sz="0" w:space="0" w:color="auto"/>
      </w:divBdr>
      <w:divsChild>
        <w:div w:id="1286884886">
          <w:marLeft w:val="547"/>
          <w:marRight w:val="0"/>
          <w:marTop w:val="115"/>
          <w:marBottom w:val="0"/>
          <w:divBdr>
            <w:top w:val="none" w:sz="0" w:space="0" w:color="auto"/>
            <w:left w:val="none" w:sz="0" w:space="0" w:color="auto"/>
            <w:bottom w:val="none" w:sz="0" w:space="0" w:color="auto"/>
            <w:right w:val="none" w:sz="0" w:space="0" w:color="auto"/>
          </w:divBdr>
        </w:div>
        <w:div w:id="46269474">
          <w:marLeft w:val="547"/>
          <w:marRight w:val="0"/>
          <w:marTop w:val="115"/>
          <w:marBottom w:val="0"/>
          <w:divBdr>
            <w:top w:val="none" w:sz="0" w:space="0" w:color="auto"/>
            <w:left w:val="none" w:sz="0" w:space="0" w:color="auto"/>
            <w:bottom w:val="none" w:sz="0" w:space="0" w:color="auto"/>
            <w:right w:val="none" w:sz="0" w:space="0" w:color="auto"/>
          </w:divBdr>
        </w:div>
      </w:divsChild>
    </w:div>
    <w:div w:id="320620374">
      <w:bodyDiv w:val="1"/>
      <w:marLeft w:val="0"/>
      <w:marRight w:val="0"/>
      <w:marTop w:val="0"/>
      <w:marBottom w:val="0"/>
      <w:divBdr>
        <w:top w:val="none" w:sz="0" w:space="0" w:color="auto"/>
        <w:left w:val="none" w:sz="0" w:space="0" w:color="auto"/>
        <w:bottom w:val="none" w:sz="0" w:space="0" w:color="auto"/>
        <w:right w:val="none" w:sz="0" w:space="0" w:color="auto"/>
      </w:divBdr>
      <w:divsChild>
        <w:div w:id="664406230">
          <w:marLeft w:val="547"/>
          <w:marRight w:val="0"/>
          <w:marTop w:val="115"/>
          <w:marBottom w:val="0"/>
          <w:divBdr>
            <w:top w:val="none" w:sz="0" w:space="0" w:color="auto"/>
            <w:left w:val="none" w:sz="0" w:space="0" w:color="auto"/>
            <w:bottom w:val="none" w:sz="0" w:space="0" w:color="auto"/>
            <w:right w:val="none" w:sz="0" w:space="0" w:color="auto"/>
          </w:divBdr>
        </w:div>
        <w:div w:id="595485285">
          <w:marLeft w:val="547"/>
          <w:marRight w:val="0"/>
          <w:marTop w:val="115"/>
          <w:marBottom w:val="0"/>
          <w:divBdr>
            <w:top w:val="none" w:sz="0" w:space="0" w:color="auto"/>
            <w:left w:val="none" w:sz="0" w:space="0" w:color="auto"/>
            <w:bottom w:val="none" w:sz="0" w:space="0" w:color="auto"/>
            <w:right w:val="none" w:sz="0" w:space="0" w:color="auto"/>
          </w:divBdr>
        </w:div>
        <w:div w:id="247546251">
          <w:marLeft w:val="547"/>
          <w:marRight w:val="0"/>
          <w:marTop w:val="115"/>
          <w:marBottom w:val="0"/>
          <w:divBdr>
            <w:top w:val="none" w:sz="0" w:space="0" w:color="auto"/>
            <w:left w:val="none" w:sz="0" w:space="0" w:color="auto"/>
            <w:bottom w:val="none" w:sz="0" w:space="0" w:color="auto"/>
            <w:right w:val="none" w:sz="0" w:space="0" w:color="auto"/>
          </w:divBdr>
        </w:div>
      </w:divsChild>
    </w:div>
    <w:div w:id="344750598">
      <w:bodyDiv w:val="1"/>
      <w:marLeft w:val="0"/>
      <w:marRight w:val="0"/>
      <w:marTop w:val="0"/>
      <w:marBottom w:val="0"/>
      <w:divBdr>
        <w:top w:val="none" w:sz="0" w:space="0" w:color="auto"/>
        <w:left w:val="none" w:sz="0" w:space="0" w:color="auto"/>
        <w:bottom w:val="none" w:sz="0" w:space="0" w:color="auto"/>
        <w:right w:val="none" w:sz="0" w:space="0" w:color="auto"/>
      </w:divBdr>
      <w:divsChild>
        <w:div w:id="1780221080">
          <w:marLeft w:val="547"/>
          <w:marRight w:val="0"/>
          <w:marTop w:val="106"/>
          <w:marBottom w:val="0"/>
          <w:divBdr>
            <w:top w:val="none" w:sz="0" w:space="0" w:color="auto"/>
            <w:left w:val="none" w:sz="0" w:space="0" w:color="auto"/>
            <w:bottom w:val="none" w:sz="0" w:space="0" w:color="auto"/>
            <w:right w:val="none" w:sz="0" w:space="0" w:color="auto"/>
          </w:divBdr>
        </w:div>
        <w:div w:id="2025474301">
          <w:marLeft w:val="547"/>
          <w:marRight w:val="0"/>
          <w:marTop w:val="106"/>
          <w:marBottom w:val="0"/>
          <w:divBdr>
            <w:top w:val="none" w:sz="0" w:space="0" w:color="auto"/>
            <w:left w:val="none" w:sz="0" w:space="0" w:color="auto"/>
            <w:bottom w:val="none" w:sz="0" w:space="0" w:color="auto"/>
            <w:right w:val="none" w:sz="0" w:space="0" w:color="auto"/>
          </w:divBdr>
        </w:div>
        <w:div w:id="1705907752">
          <w:marLeft w:val="547"/>
          <w:marRight w:val="0"/>
          <w:marTop w:val="106"/>
          <w:marBottom w:val="0"/>
          <w:divBdr>
            <w:top w:val="none" w:sz="0" w:space="0" w:color="auto"/>
            <w:left w:val="none" w:sz="0" w:space="0" w:color="auto"/>
            <w:bottom w:val="none" w:sz="0" w:space="0" w:color="auto"/>
            <w:right w:val="none" w:sz="0" w:space="0" w:color="auto"/>
          </w:divBdr>
        </w:div>
      </w:divsChild>
    </w:div>
    <w:div w:id="346176672">
      <w:bodyDiv w:val="1"/>
      <w:marLeft w:val="0"/>
      <w:marRight w:val="0"/>
      <w:marTop w:val="0"/>
      <w:marBottom w:val="0"/>
      <w:divBdr>
        <w:top w:val="none" w:sz="0" w:space="0" w:color="auto"/>
        <w:left w:val="none" w:sz="0" w:space="0" w:color="auto"/>
        <w:bottom w:val="none" w:sz="0" w:space="0" w:color="auto"/>
        <w:right w:val="none" w:sz="0" w:space="0" w:color="auto"/>
      </w:divBdr>
    </w:div>
    <w:div w:id="500196191">
      <w:bodyDiv w:val="1"/>
      <w:marLeft w:val="0"/>
      <w:marRight w:val="0"/>
      <w:marTop w:val="0"/>
      <w:marBottom w:val="0"/>
      <w:divBdr>
        <w:top w:val="none" w:sz="0" w:space="0" w:color="auto"/>
        <w:left w:val="none" w:sz="0" w:space="0" w:color="auto"/>
        <w:bottom w:val="none" w:sz="0" w:space="0" w:color="auto"/>
        <w:right w:val="none" w:sz="0" w:space="0" w:color="auto"/>
      </w:divBdr>
      <w:divsChild>
        <w:div w:id="1976835875">
          <w:marLeft w:val="547"/>
          <w:marRight w:val="0"/>
          <w:marTop w:val="115"/>
          <w:marBottom w:val="0"/>
          <w:divBdr>
            <w:top w:val="none" w:sz="0" w:space="0" w:color="auto"/>
            <w:left w:val="none" w:sz="0" w:space="0" w:color="auto"/>
            <w:bottom w:val="none" w:sz="0" w:space="0" w:color="auto"/>
            <w:right w:val="none" w:sz="0" w:space="0" w:color="auto"/>
          </w:divBdr>
        </w:div>
        <w:div w:id="548734884">
          <w:marLeft w:val="547"/>
          <w:marRight w:val="0"/>
          <w:marTop w:val="115"/>
          <w:marBottom w:val="0"/>
          <w:divBdr>
            <w:top w:val="none" w:sz="0" w:space="0" w:color="auto"/>
            <w:left w:val="none" w:sz="0" w:space="0" w:color="auto"/>
            <w:bottom w:val="none" w:sz="0" w:space="0" w:color="auto"/>
            <w:right w:val="none" w:sz="0" w:space="0" w:color="auto"/>
          </w:divBdr>
        </w:div>
      </w:divsChild>
    </w:div>
    <w:div w:id="509829996">
      <w:bodyDiv w:val="1"/>
      <w:marLeft w:val="0"/>
      <w:marRight w:val="0"/>
      <w:marTop w:val="0"/>
      <w:marBottom w:val="0"/>
      <w:divBdr>
        <w:top w:val="none" w:sz="0" w:space="0" w:color="auto"/>
        <w:left w:val="none" w:sz="0" w:space="0" w:color="auto"/>
        <w:bottom w:val="none" w:sz="0" w:space="0" w:color="auto"/>
        <w:right w:val="none" w:sz="0" w:space="0" w:color="auto"/>
      </w:divBdr>
    </w:div>
    <w:div w:id="586771924">
      <w:bodyDiv w:val="1"/>
      <w:marLeft w:val="0"/>
      <w:marRight w:val="0"/>
      <w:marTop w:val="0"/>
      <w:marBottom w:val="0"/>
      <w:divBdr>
        <w:top w:val="none" w:sz="0" w:space="0" w:color="auto"/>
        <w:left w:val="none" w:sz="0" w:space="0" w:color="auto"/>
        <w:bottom w:val="none" w:sz="0" w:space="0" w:color="auto"/>
        <w:right w:val="none" w:sz="0" w:space="0" w:color="auto"/>
      </w:divBdr>
    </w:div>
    <w:div w:id="591207255">
      <w:bodyDiv w:val="1"/>
      <w:marLeft w:val="0"/>
      <w:marRight w:val="0"/>
      <w:marTop w:val="0"/>
      <w:marBottom w:val="0"/>
      <w:divBdr>
        <w:top w:val="none" w:sz="0" w:space="0" w:color="auto"/>
        <w:left w:val="none" w:sz="0" w:space="0" w:color="auto"/>
        <w:bottom w:val="none" w:sz="0" w:space="0" w:color="auto"/>
        <w:right w:val="none" w:sz="0" w:space="0" w:color="auto"/>
      </w:divBdr>
    </w:div>
    <w:div w:id="600645849">
      <w:bodyDiv w:val="1"/>
      <w:marLeft w:val="0"/>
      <w:marRight w:val="0"/>
      <w:marTop w:val="0"/>
      <w:marBottom w:val="0"/>
      <w:divBdr>
        <w:top w:val="none" w:sz="0" w:space="0" w:color="auto"/>
        <w:left w:val="none" w:sz="0" w:space="0" w:color="auto"/>
        <w:bottom w:val="none" w:sz="0" w:space="0" w:color="auto"/>
        <w:right w:val="none" w:sz="0" w:space="0" w:color="auto"/>
      </w:divBdr>
    </w:div>
    <w:div w:id="624579549">
      <w:bodyDiv w:val="1"/>
      <w:marLeft w:val="0"/>
      <w:marRight w:val="0"/>
      <w:marTop w:val="0"/>
      <w:marBottom w:val="0"/>
      <w:divBdr>
        <w:top w:val="none" w:sz="0" w:space="0" w:color="auto"/>
        <w:left w:val="none" w:sz="0" w:space="0" w:color="auto"/>
        <w:bottom w:val="none" w:sz="0" w:space="0" w:color="auto"/>
        <w:right w:val="none" w:sz="0" w:space="0" w:color="auto"/>
      </w:divBdr>
    </w:div>
    <w:div w:id="703747284">
      <w:bodyDiv w:val="1"/>
      <w:marLeft w:val="0"/>
      <w:marRight w:val="0"/>
      <w:marTop w:val="0"/>
      <w:marBottom w:val="0"/>
      <w:divBdr>
        <w:top w:val="none" w:sz="0" w:space="0" w:color="auto"/>
        <w:left w:val="none" w:sz="0" w:space="0" w:color="auto"/>
        <w:bottom w:val="none" w:sz="0" w:space="0" w:color="auto"/>
        <w:right w:val="none" w:sz="0" w:space="0" w:color="auto"/>
      </w:divBdr>
      <w:divsChild>
        <w:div w:id="7024170">
          <w:marLeft w:val="547"/>
          <w:marRight w:val="0"/>
          <w:marTop w:val="115"/>
          <w:marBottom w:val="0"/>
          <w:divBdr>
            <w:top w:val="none" w:sz="0" w:space="0" w:color="auto"/>
            <w:left w:val="none" w:sz="0" w:space="0" w:color="auto"/>
            <w:bottom w:val="none" w:sz="0" w:space="0" w:color="auto"/>
            <w:right w:val="none" w:sz="0" w:space="0" w:color="auto"/>
          </w:divBdr>
        </w:div>
        <w:div w:id="1926038465">
          <w:marLeft w:val="547"/>
          <w:marRight w:val="0"/>
          <w:marTop w:val="115"/>
          <w:marBottom w:val="0"/>
          <w:divBdr>
            <w:top w:val="none" w:sz="0" w:space="0" w:color="auto"/>
            <w:left w:val="none" w:sz="0" w:space="0" w:color="auto"/>
            <w:bottom w:val="none" w:sz="0" w:space="0" w:color="auto"/>
            <w:right w:val="none" w:sz="0" w:space="0" w:color="auto"/>
          </w:divBdr>
        </w:div>
        <w:div w:id="389696281">
          <w:marLeft w:val="547"/>
          <w:marRight w:val="0"/>
          <w:marTop w:val="115"/>
          <w:marBottom w:val="0"/>
          <w:divBdr>
            <w:top w:val="none" w:sz="0" w:space="0" w:color="auto"/>
            <w:left w:val="none" w:sz="0" w:space="0" w:color="auto"/>
            <w:bottom w:val="none" w:sz="0" w:space="0" w:color="auto"/>
            <w:right w:val="none" w:sz="0" w:space="0" w:color="auto"/>
          </w:divBdr>
        </w:div>
      </w:divsChild>
    </w:div>
    <w:div w:id="817382253">
      <w:bodyDiv w:val="1"/>
      <w:marLeft w:val="0"/>
      <w:marRight w:val="0"/>
      <w:marTop w:val="0"/>
      <w:marBottom w:val="0"/>
      <w:divBdr>
        <w:top w:val="none" w:sz="0" w:space="0" w:color="auto"/>
        <w:left w:val="none" w:sz="0" w:space="0" w:color="auto"/>
        <w:bottom w:val="none" w:sz="0" w:space="0" w:color="auto"/>
        <w:right w:val="none" w:sz="0" w:space="0" w:color="auto"/>
      </w:divBdr>
    </w:div>
    <w:div w:id="874536717">
      <w:bodyDiv w:val="1"/>
      <w:marLeft w:val="0"/>
      <w:marRight w:val="0"/>
      <w:marTop w:val="0"/>
      <w:marBottom w:val="0"/>
      <w:divBdr>
        <w:top w:val="none" w:sz="0" w:space="0" w:color="auto"/>
        <w:left w:val="none" w:sz="0" w:space="0" w:color="auto"/>
        <w:bottom w:val="none" w:sz="0" w:space="0" w:color="auto"/>
        <w:right w:val="none" w:sz="0" w:space="0" w:color="auto"/>
      </w:divBdr>
    </w:div>
    <w:div w:id="1041201056">
      <w:bodyDiv w:val="1"/>
      <w:marLeft w:val="0"/>
      <w:marRight w:val="0"/>
      <w:marTop w:val="0"/>
      <w:marBottom w:val="0"/>
      <w:divBdr>
        <w:top w:val="none" w:sz="0" w:space="0" w:color="auto"/>
        <w:left w:val="none" w:sz="0" w:space="0" w:color="auto"/>
        <w:bottom w:val="none" w:sz="0" w:space="0" w:color="auto"/>
        <w:right w:val="none" w:sz="0" w:space="0" w:color="auto"/>
      </w:divBdr>
      <w:divsChild>
        <w:div w:id="261768616">
          <w:marLeft w:val="547"/>
          <w:marRight w:val="0"/>
          <w:marTop w:val="115"/>
          <w:marBottom w:val="0"/>
          <w:divBdr>
            <w:top w:val="none" w:sz="0" w:space="0" w:color="auto"/>
            <w:left w:val="none" w:sz="0" w:space="0" w:color="auto"/>
            <w:bottom w:val="none" w:sz="0" w:space="0" w:color="auto"/>
            <w:right w:val="none" w:sz="0" w:space="0" w:color="auto"/>
          </w:divBdr>
        </w:div>
        <w:div w:id="2131972226">
          <w:marLeft w:val="547"/>
          <w:marRight w:val="0"/>
          <w:marTop w:val="115"/>
          <w:marBottom w:val="0"/>
          <w:divBdr>
            <w:top w:val="none" w:sz="0" w:space="0" w:color="auto"/>
            <w:left w:val="none" w:sz="0" w:space="0" w:color="auto"/>
            <w:bottom w:val="none" w:sz="0" w:space="0" w:color="auto"/>
            <w:right w:val="none" w:sz="0" w:space="0" w:color="auto"/>
          </w:divBdr>
        </w:div>
      </w:divsChild>
    </w:div>
    <w:div w:id="1087919255">
      <w:bodyDiv w:val="1"/>
      <w:marLeft w:val="0"/>
      <w:marRight w:val="0"/>
      <w:marTop w:val="0"/>
      <w:marBottom w:val="0"/>
      <w:divBdr>
        <w:top w:val="none" w:sz="0" w:space="0" w:color="auto"/>
        <w:left w:val="none" w:sz="0" w:space="0" w:color="auto"/>
        <w:bottom w:val="none" w:sz="0" w:space="0" w:color="auto"/>
        <w:right w:val="none" w:sz="0" w:space="0" w:color="auto"/>
      </w:divBdr>
      <w:divsChild>
        <w:div w:id="113377858">
          <w:marLeft w:val="547"/>
          <w:marRight w:val="0"/>
          <w:marTop w:val="115"/>
          <w:marBottom w:val="0"/>
          <w:divBdr>
            <w:top w:val="none" w:sz="0" w:space="0" w:color="auto"/>
            <w:left w:val="none" w:sz="0" w:space="0" w:color="auto"/>
            <w:bottom w:val="none" w:sz="0" w:space="0" w:color="auto"/>
            <w:right w:val="none" w:sz="0" w:space="0" w:color="auto"/>
          </w:divBdr>
        </w:div>
        <w:div w:id="362874819">
          <w:marLeft w:val="547"/>
          <w:marRight w:val="0"/>
          <w:marTop w:val="115"/>
          <w:marBottom w:val="0"/>
          <w:divBdr>
            <w:top w:val="none" w:sz="0" w:space="0" w:color="auto"/>
            <w:left w:val="none" w:sz="0" w:space="0" w:color="auto"/>
            <w:bottom w:val="none" w:sz="0" w:space="0" w:color="auto"/>
            <w:right w:val="none" w:sz="0" w:space="0" w:color="auto"/>
          </w:divBdr>
        </w:div>
        <w:div w:id="2118598178">
          <w:marLeft w:val="547"/>
          <w:marRight w:val="0"/>
          <w:marTop w:val="115"/>
          <w:marBottom w:val="0"/>
          <w:divBdr>
            <w:top w:val="none" w:sz="0" w:space="0" w:color="auto"/>
            <w:left w:val="none" w:sz="0" w:space="0" w:color="auto"/>
            <w:bottom w:val="none" w:sz="0" w:space="0" w:color="auto"/>
            <w:right w:val="none" w:sz="0" w:space="0" w:color="auto"/>
          </w:divBdr>
        </w:div>
      </w:divsChild>
    </w:div>
    <w:div w:id="1248420438">
      <w:bodyDiv w:val="1"/>
      <w:marLeft w:val="0"/>
      <w:marRight w:val="0"/>
      <w:marTop w:val="0"/>
      <w:marBottom w:val="0"/>
      <w:divBdr>
        <w:top w:val="none" w:sz="0" w:space="0" w:color="auto"/>
        <w:left w:val="none" w:sz="0" w:space="0" w:color="auto"/>
        <w:bottom w:val="none" w:sz="0" w:space="0" w:color="auto"/>
        <w:right w:val="none" w:sz="0" w:space="0" w:color="auto"/>
      </w:divBdr>
    </w:div>
    <w:div w:id="1287271819">
      <w:bodyDiv w:val="1"/>
      <w:marLeft w:val="0"/>
      <w:marRight w:val="0"/>
      <w:marTop w:val="0"/>
      <w:marBottom w:val="0"/>
      <w:divBdr>
        <w:top w:val="none" w:sz="0" w:space="0" w:color="auto"/>
        <w:left w:val="none" w:sz="0" w:space="0" w:color="auto"/>
        <w:bottom w:val="none" w:sz="0" w:space="0" w:color="auto"/>
        <w:right w:val="none" w:sz="0" w:space="0" w:color="auto"/>
      </w:divBdr>
    </w:div>
    <w:div w:id="1390574397">
      <w:bodyDiv w:val="1"/>
      <w:marLeft w:val="0"/>
      <w:marRight w:val="0"/>
      <w:marTop w:val="0"/>
      <w:marBottom w:val="0"/>
      <w:divBdr>
        <w:top w:val="none" w:sz="0" w:space="0" w:color="auto"/>
        <w:left w:val="none" w:sz="0" w:space="0" w:color="auto"/>
        <w:bottom w:val="none" w:sz="0" w:space="0" w:color="auto"/>
        <w:right w:val="none" w:sz="0" w:space="0" w:color="auto"/>
      </w:divBdr>
    </w:div>
    <w:div w:id="1426196365">
      <w:bodyDiv w:val="1"/>
      <w:marLeft w:val="0"/>
      <w:marRight w:val="0"/>
      <w:marTop w:val="0"/>
      <w:marBottom w:val="0"/>
      <w:divBdr>
        <w:top w:val="none" w:sz="0" w:space="0" w:color="auto"/>
        <w:left w:val="none" w:sz="0" w:space="0" w:color="auto"/>
        <w:bottom w:val="none" w:sz="0" w:space="0" w:color="auto"/>
        <w:right w:val="none" w:sz="0" w:space="0" w:color="auto"/>
      </w:divBdr>
    </w:div>
    <w:div w:id="1506481067">
      <w:bodyDiv w:val="1"/>
      <w:marLeft w:val="0"/>
      <w:marRight w:val="0"/>
      <w:marTop w:val="0"/>
      <w:marBottom w:val="0"/>
      <w:divBdr>
        <w:top w:val="none" w:sz="0" w:space="0" w:color="auto"/>
        <w:left w:val="none" w:sz="0" w:space="0" w:color="auto"/>
        <w:bottom w:val="none" w:sz="0" w:space="0" w:color="auto"/>
        <w:right w:val="none" w:sz="0" w:space="0" w:color="auto"/>
      </w:divBdr>
    </w:div>
    <w:div w:id="1593508603">
      <w:bodyDiv w:val="1"/>
      <w:marLeft w:val="0"/>
      <w:marRight w:val="0"/>
      <w:marTop w:val="0"/>
      <w:marBottom w:val="0"/>
      <w:divBdr>
        <w:top w:val="none" w:sz="0" w:space="0" w:color="auto"/>
        <w:left w:val="none" w:sz="0" w:space="0" w:color="auto"/>
        <w:bottom w:val="none" w:sz="0" w:space="0" w:color="auto"/>
        <w:right w:val="none" w:sz="0" w:space="0" w:color="auto"/>
      </w:divBdr>
    </w:div>
    <w:div w:id="1796556604">
      <w:bodyDiv w:val="1"/>
      <w:marLeft w:val="0"/>
      <w:marRight w:val="0"/>
      <w:marTop w:val="0"/>
      <w:marBottom w:val="0"/>
      <w:divBdr>
        <w:top w:val="none" w:sz="0" w:space="0" w:color="auto"/>
        <w:left w:val="none" w:sz="0" w:space="0" w:color="auto"/>
        <w:bottom w:val="none" w:sz="0" w:space="0" w:color="auto"/>
        <w:right w:val="none" w:sz="0" w:space="0" w:color="auto"/>
      </w:divBdr>
    </w:div>
    <w:div w:id="1958288217">
      <w:bodyDiv w:val="1"/>
      <w:marLeft w:val="0"/>
      <w:marRight w:val="0"/>
      <w:marTop w:val="0"/>
      <w:marBottom w:val="0"/>
      <w:divBdr>
        <w:top w:val="none" w:sz="0" w:space="0" w:color="auto"/>
        <w:left w:val="none" w:sz="0" w:space="0" w:color="auto"/>
        <w:bottom w:val="none" w:sz="0" w:space="0" w:color="auto"/>
        <w:right w:val="none" w:sz="0" w:space="0" w:color="auto"/>
      </w:divBdr>
      <w:divsChild>
        <w:div w:id="294339134">
          <w:marLeft w:val="547"/>
          <w:marRight w:val="0"/>
          <w:marTop w:val="115"/>
          <w:marBottom w:val="0"/>
          <w:divBdr>
            <w:top w:val="none" w:sz="0" w:space="0" w:color="auto"/>
            <w:left w:val="none" w:sz="0" w:space="0" w:color="auto"/>
            <w:bottom w:val="none" w:sz="0" w:space="0" w:color="auto"/>
            <w:right w:val="none" w:sz="0" w:space="0" w:color="auto"/>
          </w:divBdr>
        </w:div>
        <w:div w:id="104931074">
          <w:marLeft w:val="547"/>
          <w:marRight w:val="0"/>
          <w:marTop w:val="115"/>
          <w:marBottom w:val="0"/>
          <w:divBdr>
            <w:top w:val="none" w:sz="0" w:space="0" w:color="auto"/>
            <w:left w:val="none" w:sz="0" w:space="0" w:color="auto"/>
            <w:bottom w:val="none" w:sz="0" w:space="0" w:color="auto"/>
            <w:right w:val="none" w:sz="0" w:space="0" w:color="auto"/>
          </w:divBdr>
        </w:div>
        <w:div w:id="616109864">
          <w:marLeft w:val="547"/>
          <w:marRight w:val="0"/>
          <w:marTop w:val="115"/>
          <w:marBottom w:val="0"/>
          <w:divBdr>
            <w:top w:val="none" w:sz="0" w:space="0" w:color="auto"/>
            <w:left w:val="none" w:sz="0" w:space="0" w:color="auto"/>
            <w:bottom w:val="none" w:sz="0" w:space="0" w:color="auto"/>
            <w:right w:val="none" w:sz="0" w:space="0" w:color="auto"/>
          </w:divBdr>
        </w:div>
        <w:div w:id="1315910145">
          <w:marLeft w:val="547"/>
          <w:marRight w:val="0"/>
          <w:marTop w:val="115"/>
          <w:marBottom w:val="0"/>
          <w:divBdr>
            <w:top w:val="none" w:sz="0" w:space="0" w:color="auto"/>
            <w:left w:val="none" w:sz="0" w:space="0" w:color="auto"/>
            <w:bottom w:val="none" w:sz="0" w:space="0" w:color="auto"/>
            <w:right w:val="none" w:sz="0" w:space="0" w:color="auto"/>
          </w:divBdr>
        </w:div>
      </w:divsChild>
    </w:div>
    <w:div w:id="2052150263">
      <w:bodyDiv w:val="1"/>
      <w:marLeft w:val="0"/>
      <w:marRight w:val="0"/>
      <w:marTop w:val="0"/>
      <w:marBottom w:val="0"/>
      <w:divBdr>
        <w:top w:val="none" w:sz="0" w:space="0" w:color="auto"/>
        <w:left w:val="none" w:sz="0" w:space="0" w:color="auto"/>
        <w:bottom w:val="none" w:sz="0" w:space="0" w:color="auto"/>
        <w:right w:val="none" w:sz="0" w:space="0" w:color="auto"/>
      </w:divBdr>
      <w:divsChild>
        <w:div w:id="1873301700">
          <w:marLeft w:val="547"/>
          <w:marRight w:val="0"/>
          <w:marTop w:val="115"/>
          <w:marBottom w:val="0"/>
          <w:divBdr>
            <w:top w:val="none" w:sz="0" w:space="0" w:color="auto"/>
            <w:left w:val="none" w:sz="0" w:space="0" w:color="auto"/>
            <w:bottom w:val="none" w:sz="0" w:space="0" w:color="auto"/>
            <w:right w:val="none" w:sz="0" w:space="0" w:color="auto"/>
          </w:divBdr>
        </w:div>
        <w:div w:id="2126658310">
          <w:marLeft w:val="547"/>
          <w:marRight w:val="0"/>
          <w:marTop w:val="115"/>
          <w:marBottom w:val="0"/>
          <w:divBdr>
            <w:top w:val="none" w:sz="0" w:space="0" w:color="auto"/>
            <w:left w:val="none" w:sz="0" w:space="0" w:color="auto"/>
            <w:bottom w:val="none" w:sz="0" w:space="0" w:color="auto"/>
            <w:right w:val="none" w:sz="0" w:space="0" w:color="auto"/>
          </w:divBdr>
        </w:div>
        <w:div w:id="520556842">
          <w:marLeft w:val="547"/>
          <w:marRight w:val="0"/>
          <w:marTop w:val="115"/>
          <w:marBottom w:val="0"/>
          <w:divBdr>
            <w:top w:val="none" w:sz="0" w:space="0" w:color="auto"/>
            <w:left w:val="none" w:sz="0" w:space="0" w:color="auto"/>
            <w:bottom w:val="none" w:sz="0" w:space="0" w:color="auto"/>
            <w:right w:val="none" w:sz="0" w:space="0" w:color="auto"/>
          </w:divBdr>
        </w:div>
      </w:divsChild>
    </w:div>
    <w:div w:id="2060475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emf"/><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10</Pages>
  <Words>2665</Words>
  <Characters>15196</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Nevena Gajovic</dc:creator>
  <cp:keywords/>
  <dc:description/>
  <cp:lastModifiedBy>Nevena Gajovic</cp:lastModifiedBy>
  <cp:revision>6</cp:revision>
  <dcterms:created xsi:type="dcterms:W3CDTF">2025-05-18T16:54:00Z</dcterms:created>
  <dcterms:modified xsi:type="dcterms:W3CDTF">2025-05-19T12:24:00Z</dcterms:modified>
</cp:coreProperties>
</file>